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ind w:firstLine="0"/>
      </w:pPr>
      <w:r>
        <w:rPr>
          <w:rFonts w:ascii="Times New Roman" w:hAnsi="Times New Roman"/>
          <w:sz w:val="28"/>
        </w:rPr>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Москва 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7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(Обновите содержание: выделите → правый клик → «Обновить поле»)</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двух наборах данных: подмножестве Deepfake Detection Challenge (DFDC), организованного компанией Meta, и FaceForensics-based наборе DFD01.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3420 видео (363 real, 3057 fake) с выраженным дисбалансом классов. Использование двух наборов данных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83.5%</w:t>
            </w:r>
          </w:p>
        </w:tc>
        <w:tc>
          <w:tcPr>
            <w:tcW w:type="dxa" w:w="1403"/>
          </w:tcPr>
          <w:p>
            <w:pPr>
              <w:spacing w:after="0"/>
              <w:ind w:firstLine="0"/>
              <w:jc w:val="center"/>
            </w:pPr>
            <w:r>
              <w:rPr>
                <w:rFonts w:ascii="Times New Roman" w:hAnsi="Times New Roman"/>
                <w:sz w:val="22"/>
              </w:rPr>
              <w:t>0.830</w:t>
            </w:r>
          </w:p>
        </w:tc>
        <w:tc>
          <w:tcPr>
            <w:tcW w:type="dxa" w:w="1403"/>
          </w:tcPr>
          <w:p>
            <w:pPr>
              <w:spacing w:after="0"/>
              <w:ind w:firstLine="0"/>
              <w:jc w:val="center"/>
            </w:pPr>
            <w:r>
              <w:rPr>
                <w:rFonts w:ascii="Times New Roman" w:hAnsi="Times New Roman"/>
                <w:sz w:val="22"/>
              </w:rPr>
              <w:t>0.169</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83.1%</w:t>
            </w:r>
          </w:p>
        </w:tc>
        <w:tc>
          <w:tcPr>
            <w:tcW w:type="dxa" w:w="1403"/>
          </w:tcPr>
          <w:p>
            <w:pPr>
              <w:spacing w:after="0"/>
              <w:ind w:firstLine="0"/>
              <w:jc w:val="center"/>
            </w:pPr>
            <w:r>
              <w:rPr>
                <w:rFonts w:ascii="Times New Roman" w:hAnsi="Times New Roman"/>
                <w:sz w:val="22"/>
              </w:rPr>
              <w:t>0.825</w:t>
            </w:r>
          </w:p>
        </w:tc>
        <w:tc>
          <w:tcPr>
            <w:tcW w:type="dxa" w:w="1403"/>
          </w:tcPr>
          <w:p>
            <w:pPr>
              <w:spacing w:after="0"/>
              <w:ind w:firstLine="0"/>
              <w:jc w:val="center"/>
            </w:pPr>
            <w:r>
              <w:rPr>
                <w:rFonts w:ascii="Times New Roman" w:hAnsi="Times New Roman"/>
                <w:sz w:val="22"/>
              </w:rPr>
              <w:t>0.171</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82.9%</w:t>
            </w:r>
          </w:p>
        </w:tc>
        <w:tc>
          <w:tcPr>
            <w:tcW w:type="dxa" w:w="1403"/>
          </w:tcPr>
          <w:p>
            <w:pPr>
              <w:spacing w:after="0"/>
              <w:ind w:firstLine="0"/>
              <w:jc w:val="center"/>
            </w:pPr>
            <w:r>
              <w:rPr>
                <w:rFonts w:ascii="Times New Roman" w:hAnsi="Times New Roman"/>
                <w:sz w:val="22"/>
              </w:rPr>
              <w:t>0.823</w:t>
            </w:r>
          </w:p>
        </w:tc>
        <w:tc>
          <w:tcPr>
            <w:tcW w:type="dxa" w:w="1403"/>
          </w:tcPr>
          <w:p>
            <w:pPr>
              <w:spacing w:after="0"/>
              <w:ind w:firstLine="0"/>
              <w:jc w:val="center"/>
            </w:pPr>
            <w:r>
              <w:rPr>
                <w:rFonts w:ascii="Times New Roman" w:hAnsi="Times New Roman"/>
                <w:sz w:val="22"/>
              </w:rPr>
              <w:t>0.163</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82.3%</w:t>
            </w:r>
          </w:p>
        </w:tc>
        <w:tc>
          <w:tcPr>
            <w:tcW w:type="dxa" w:w="1403"/>
          </w:tcPr>
          <w:p>
            <w:pPr>
              <w:spacing w:after="0"/>
              <w:ind w:firstLine="0"/>
              <w:jc w:val="center"/>
            </w:pPr>
            <w:r>
              <w:rPr>
                <w:rFonts w:ascii="Times New Roman" w:hAnsi="Times New Roman"/>
                <w:sz w:val="22"/>
              </w:rPr>
              <w:t>0.817</w:t>
            </w:r>
          </w:p>
        </w:tc>
        <w:tc>
          <w:tcPr>
            <w:tcW w:type="dxa" w:w="1403"/>
          </w:tcPr>
          <w:p>
            <w:pPr>
              <w:spacing w:after="0"/>
              <w:ind w:firstLine="0"/>
              <w:jc w:val="center"/>
            </w:pPr>
            <w:r>
              <w:rPr>
                <w:rFonts w:ascii="Times New Roman" w:hAnsi="Times New Roman"/>
                <w:sz w:val="22"/>
              </w:rPr>
              <w:t>0.172</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На тестовой выборке DFDC02 полная модель (dual-path + adaptive fusion) при T=32 достигает AUC = 0.987, Accuracy = 95.7%, F1 = 0.955, EER = 0.045. Увеличение T с 16 до 32 даёт устойчивый прирост AUC от +0.005 до +0.010 для всех конфигураций. Обучение на трёх датасетах (DFDC02 + DFD01 + Celeb-DF v2, 10023 видео) показало AUC 0.959 для полной модели, подтвердив эффективность мультидатасетного подхода. Примечательно, что на трёх датасетах полная dual-path модель (A1) вновь превосходит все ablation-варианты (A2 Spatial: 0.949, A3 Temporal: 0.954), что подтверждает оптимальность dual-path архитектуры для практического применения.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трёх измерениях. На DFDC02 (T=32) достигнуты значения AUC 0.987, Accuracy 95.7%, F1-score 0.955 и EER 0.045. Мульти-датасетное обучение (DFDC02 + DFD01, T=16) показало AUC 0.899 для полной модели. Обучение на трёх объединённых наборах данных (DFDC02 + DFD01 + Celeb-DF v2, 10023 видео) показало AUC 0.959 с точностью 94.4% и F1-score 0.962, подтверждая эффективность мультидатасетного подхода для повышения обобщающей способности. Увеличение длины клипа с T=16 до T=32 даёт устойчивый прирост AUC от +0.005 до +0.010.</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завершение обучения на трёх датасетах для T=32 (T=16 завершено, AUC 0.959); расширение экспериментальной оценки на FaceForensics++; масштабирование cross-dataset evaluation; исследование fine-tuning backbone при наличии стабильной CUDA-среды.</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