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65 с., 10 рис., 4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подмножестве набора данных DFDC.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sz w:val="28"/>
          <w:highlight w:val="yellow"/>
        </w:rPr>
        <w:t>[РИСУНОК 3.1: Блок-схема предлагаемого метода. Содержание: входное видео → предобработка (MTCNN, face crop, frame sampling, frame differences) → две параллельные ветви (Spatial: EfficientNet-B4 → mean pooling → projection; Temporal: EfficientNet-B0 → Transformer → [CLS]) → Adaptive Fusion → Classification Head → P(fake|V).]</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512,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8 видео. Смешанная точность (FP16) доступна как опция для ускорения обучения на CUDA, но по умолчанию отключена для обеспечения переносимости и стабильности на различных устройствах (CPU, MPS).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5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highlight w:val="yellow"/>
          <w:highlight w:val="yellow"/>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Точный баланс классов в экспериментальном подмножестве DFDC02 подлежит верификации при финальном прогоне; разбиение выполнено с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в стабильной конфигурации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highlight w:val="yellow"/>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Включено (FP16 на CUDA)</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4.1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4.1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highlight w:val="yellow"/>
        </w:rPr>
        <w:t>Метрики получены из лучшего чекпоинта по val AUC. Обучение выполнено на Kaggle GPU (NVIDIA Tesla P100, 30 эпох). Эксперименты A5 (concat fusion) и A6 (gate fusion) запланированы для дополнительной верификации.</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4.2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TBD</w:t>
            </w:r>
          </w:p>
        </w:tc>
        <w:tc>
          <w:tcPr>
            <w:tcW w:type="dxa" w:w="2339"/>
          </w:tcPr>
          <w:p>
            <w:pPr>
              <w:spacing w:after="0"/>
              <w:ind w:firstLine="0"/>
            </w:pPr>
            <w:r/>
            <w:r>
              <w:rPr>
                <w:rFonts w:ascii="Times New Roman" w:hAnsi="Times New Roman"/>
                <w:b w:val="0"/>
                <w:sz w:val="24"/>
              </w:rPr>
              <w:t>TBD</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A4 — sequential CNN→BiLSTM; A5 — concat fusion; A6 — gate fusion. Результаты A1–A4 получены на Kaggle GPU (30 эпох, seed=42). A5 и A6 запланированы для дополнительной серии.</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highlight w:val="yellow"/>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 Детализированный анализ с указанием video_id верифицируется в текущей серии экспериментов (v7).</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highlight w:val="yellow"/>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 Детализированный анализ распределения весов верифицируется в текущей серии экспериментов (v7).</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и оценена на одном наборе данных (подмножество DFDC). Обобщающая способность метода при переходе на другие датасеты не проверена. Cross-dataset evaluation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highlight w:val="yellow"/>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0.9777, Accuracy = 0.9253, F1 = 0.9201, EER = 0.0749. Разработан прототип пользовательского интерфейса (Flask MVP), демонстрирующий практическую применимость метода. Ablation study подтвердил, что пространственная ветвь обеспечивает наивысшую точность (AUC 0.9835), но параллельная архитектура (AUC 0.9777) объединяет оба типа признаков. Последовательная архитектура CNN→BiLSTM (AUC 0.9715) уступает обоим вариантам, а temporal-only (AUC 0.9655) подтверждает информативность разностей кадров как самостоятельного сигнала.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0.9777, Accuracy 0.9253, F1-score 0.9201 и EER 0.0749.</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отсутствие cross-dataset evaluation,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с протоколом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--input &lt;path&gt; --output data/preprocessed</w:t>
      </w:r>
    </w:p>
    <w:p>
      <w:pPr>
        <w:ind w:firstLine="0"/>
        <w:jc w:val="both"/>
      </w:pPr>
      <w:r>
        <w:rPr>
          <w:rFonts w:ascii="Times New Roman" w:hAnsi="Times New Roman"/>
          <w:sz w:val="28"/>
        </w:rPr>
        <w:t xml:space="preserve">4. Создать разбиение: python create_split.py --data-dir data/preprocessed --seed 42</w:t>
      </w:r>
    </w:p>
    <w:p>
      <w:pPr>
        <w:ind w:firstLine="0"/>
        <w:jc w:val="both"/>
      </w:pPr>
      <w:r>
        <w:rPr>
          <w:rFonts w:ascii="Times New Roman" w:hAnsi="Times New Roman"/>
          <w:sz w:val="28"/>
        </w:rPr>
        <w:t xml:space="preserve">5. Запустить полный эксперимент: python train.py --experiment full</w:t>
      </w:r>
    </w:p>
    <w:p>
      <w:pPr>
        <w:ind w:firstLine="0"/>
        <w:jc w:val="both"/>
      </w:pPr>
      <w:r>
        <w:rPr>
          <w:rFonts w:ascii="Times New Roman" w:hAnsi="Times New Roman"/>
          <w:sz w:val="28"/>
        </w:rPr>
        <w:t xml:space="preserve">6. Запустить серию ablation: python run_experiments.py</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