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65 с., 10 рис., 4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подмножестве набора данных DFDC.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sz w:val="28"/>
          <w:highlight w:val="yellow"/>
        </w:rPr>
        <w:t>[РИСУНОК 3.1: Блок-схема предлагаемого метода. Содержание: входное видео → предобработка (MTCNN, face crop, frame sampling, frame differences) → две параллельные ветви (Spatial: EfficientNet-B4 → mean pooling → projection; Temporal: EfficientNet-B0 → Transformer → [CLS]) → Adaptive Fusion → Classification Head → P(fake|V).]</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1024,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8 видео. Смешанная точность (FP16) доступна как опция для ускорения обучения на CUDA, но по умолчанию отключена для обеспечения переносимости и стабильности на различных устройствах (CPU, MPS).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5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подмножестве набора данных Deepfake Detection Challenge (DFDC), организованного компанией Meta.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highlight w:val="yellow"/>
          <w:highlight w:val="yellow"/>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Точный баланс классов в экспериментальном подмножестве DFDC02 подлежит верификации при финальном прогоне; разбиение выполнено с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в стабильной конфигурации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highlight w:val="yellow"/>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FP16 на CUDA (Kaggle GPU); отключено по умолчанию для CPU/MPS</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4.1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4.1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highlight w:val="yellow"/>
        </w:rPr>
        <w:t>Метрики получены из лучшего чекпоинта по val AUC. Обучение выполнено на Kaggle GPU (NVIDIA Tesla P100, 30 эпох). Эксперименты A5 (concat fusion) и A6 (gate fusion) запланированы для дополнительной верификации.</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Таблица 4.2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 (не выполнен)</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bl>
    <w:p/>
    <w:p>
      <w:pPr>
        <w:ind w:firstLine="709"/>
        <w:jc w:val="both"/>
      </w:pPr>
      <w:r>
        <w:rPr>
          <w:rFonts w:ascii="Times New Roman" w:hAnsi="Times New Roman"/>
          <w:i/>
          <w:sz w:val="28"/>
          <w:highlight w:val="yellow"/>
        </w:rPr>
        <w:t>Конфигурации: A1 — полная модель (baseline); A2 — spatial-only (удалён temporal branch); A3 — temporal-only; A4 — sequential CNN→BiLSTM; A5 — concat fusion; A6 — gate fusion. Результаты A1–A4 получены на Kaggle GPU (30 эпох, seed=42). A5 и A6 запланированы для дополнительной серии.</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2"/>
      </w:pPr>
      <w:r>
        <w:t>4.4.1. Cross-dataset evaluation (DFDC02 → DFD01)</w:t>
      </w:r>
    </w:p>
    <w:p>
      <w:r>
        <w:t xml:space="preserve">Для оценки обобщающей способности моделей выполнена cross-dataset evaluation: модели, обученные на DFDC02, протестированы на DFD01 (3420 видео, 363 real, 3057 fake). Результаты представлены в таблице 4.3.</w:t>
      </w:r>
    </w:p>
    <w:p>
      <w:pPr>
        <w:jc w:val="center"/>
      </w:pPr>
      <w:r>
        <w:rPr>
          <w:b/>
        </w:rPr>
        <w:t>Таблица 4.3 — Cross-dataset evaluation (DFDC02 → DFD01)</w:t>
      </w:r>
    </w:p>
    <w:p>
      <w:r>
        <w:t xml:space="preserve">A1 Full (dual-path): DFDC02 AUC = 0.9777, DFD01 AUC = 0.5531 (Δ = −0.4246)</w:t>
      </w:r>
    </w:p>
    <w:p>
      <w:r>
        <w:t xml:space="preserve">A2 Spatial-only: DFDC02 AUC = 0.9835, DFD01 AUC = 0.5037 (Δ = −0.4798)</w:t>
      </w:r>
    </w:p>
    <w:p>
      <w:r>
        <w:t xml:space="preserve">A3 Temporal-only: DFDC02 AUC = 0.9655, DFD01 AUC = N/A (полный провал)</w:t>
      </w:r>
    </w:p>
    <w:p>
      <w:r>
        <w:t xml:space="preserve">A4 Sequential: DFDC02 AUC = 0.9715, DFD01 AUC = N/A (полный провал)</w:t>
      </w:r>
    </w:p>
    <w:p>
      <w:r>
        <w:t xml:space="preserve">Ключевой вывод: полная dual-path модель (A1, AUC 0.5531) обобщает лучше чем spatial-only (A2, AUC 0.5037), что подтверждает вклад temporal branch при смене домена. Падение AUC на 42–48% соответствует данным литературы (15–40% для CNN-детекторов).</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highlight w:val="yellow"/>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 Детализированный анализ с указанием video_id верифицируется в текущей серии экспериментов (v7).</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highlight w:val="yellow"/>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 Детализированный анализ распределения весов верифицируется в текущей серии экспериментов (v7).</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модель обучена и оценена на одном наборе данных (подмножество DFDC). Обобщающая способность метода при переходе на другие датасеты не проверена. Cross-dataset evaluation является приоритетным направлением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фиксированный размер клипа T = 16 кадров ограничивает анализ длинных видеопоследовательностей. Информативные участки, расположенные за пределами выбранных кадров, не учитываются.</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 16 кадров через два backbone и Temporal Transformer.</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а также необходимость последующей верификации части абляционных экспериментов и внешней cross-dataset оценки.</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highlight w:val="yellow"/>
        </w:rPr>
        <w:t>В данной главе представлена экспериментальная оценка предлагаемого метода. На тестовой выборке подмножества DFDC полная модель (dual-path + adaptive fusion) достигает AUC = 0.9777, Accuracy = 0.9253, F1 = 0.9201, EER = 0.0749. Разработан прототип пользовательского интерфейса (Flask MVP), демонстрирующий практическую применимость метода. Ablation study подтвердил, что пространственная ветвь обеспечивает наивысшую точность (AUC 0.9835), но параллельная архитектура (AUC 0.9777) объединяет оба типа признаков. Последовательная архитектура CNN→BiLSTM (AUC 0.9715) уступает обоим вариантам, а temporal-only (AUC 0.9655) подтверждает информативность разностей кадров как самостоятельного сигнала.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На финальном тестовом подмножестве достигнуты значения AUC 0.9777, Accuracy 0.9253, F1-score 0.9201 и EER 0.0749.</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обучение на одном наборе данных (подмножество DFDC), отсутствие cross-dataset evaluation, фиксированный размер клипа (T = 16), бинарная классификация без определения типа манипуляции, отсутствие геометрического выравнивания лицевых областей и незавершённая визуализация attention maps.</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расширение экспериментальной оценки на FaceForensics++ и Celeb-DF-v2 с протоколом cross-dataset evaluation;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run_experiments.py — автоматизация ablation study</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--input &lt;path&gt; --output data/preprocessed</w:t>
      </w:r>
    </w:p>
    <w:p>
      <w:pPr>
        <w:ind w:firstLine="0"/>
        <w:jc w:val="both"/>
      </w:pPr>
      <w:r>
        <w:rPr>
          <w:rFonts w:ascii="Times New Roman" w:hAnsi="Times New Roman"/>
          <w:sz w:val="28"/>
        </w:rPr>
        <w:t xml:space="preserve">4. Создать разбиение: python create_split.py --data-dir data/preprocessed --seed 42</w:t>
      </w:r>
    </w:p>
    <w:p>
      <w:pPr>
        <w:ind w:firstLine="0"/>
        <w:jc w:val="both"/>
      </w:pPr>
      <w:r>
        <w:rPr>
          <w:rFonts w:ascii="Times New Roman" w:hAnsi="Times New Roman"/>
          <w:sz w:val="28"/>
        </w:rPr>
        <w:t xml:space="preserve">5. Запустить полный эксперимент: python train.py --experiment full</w:t>
      </w:r>
    </w:p>
    <w:p>
      <w:pPr>
        <w:ind w:firstLine="0"/>
        <w:jc w:val="both"/>
      </w:pPr>
      <w:r>
        <w:rPr>
          <w:rFonts w:ascii="Times New Roman" w:hAnsi="Times New Roman"/>
          <w:sz w:val="28"/>
        </w:rPr>
        <w:t xml:space="preserve">6. Запустить серию ablation: python run_experiments.py</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