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52" w:lineRule="auto"/>
        <w:jc w:val="center"/>
      </w:pPr>
      <w:r>
        <w:rPr>
          <w:rFonts w:ascii="Times New Roman" w:hAnsi="Times New Roman" w:eastAsia="Times New Roman"/>
          <w:b/>
          <w:i w:val="0"/>
          <w:sz w:val="24"/>
        </w:rPr>
        <w:t>CỘNG HÒA XÃ HỘI CHỦ NGHĨA VIỆT NAM</w:t>
      </w:r>
    </w:p>
    <w:p>
      <w:pPr>
        <w:spacing w:after="40" w:line="252" w:lineRule="auto"/>
        <w:jc w:val="center"/>
      </w:pPr>
      <w:r>
        <w:rPr>
          <w:rFonts w:ascii="Times New Roman" w:hAnsi="Times New Roman" w:eastAsia="Times New Roman"/>
          <w:b/>
          <w:i w:val="0"/>
          <w:sz w:val="22"/>
        </w:rPr>
        <w:t>Độc lập - Tự do - Hạnh phúc</w:t>
      </w:r>
    </w:p>
    <w:p>
      <w:pPr>
        <w:spacing w:after="40" w:line="252" w:lineRule="auto"/>
        <w:jc w:val="center"/>
      </w:pPr>
      <w:r>
        <w:rPr>
          <w:rFonts w:ascii="Times New Roman" w:hAnsi="Times New Roman" w:eastAsia="Times New Roman"/>
          <w:b w:val="0"/>
          <w:i w:val="0"/>
          <w:sz w:val="20"/>
        </w:rPr>
        <w:t>---o0o---</w:t>
      </w:r>
    </w:p>
    <w:p>
      <w:pPr>
        <w:spacing w:after="40" w:line="252" w:lineRule="auto"/>
        <w:jc w:val="center"/>
      </w:pPr>
      <w:r>
        <w:rPr>
          <w:rFonts w:ascii="Times New Roman" w:hAnsi="Times New Roman" w:eastAsia="Times New Roman"/>
          <w:b/>
          <w:i w:val="0"/>
          <w:sz w:val="32"/>
        </w:rPr>
        <w:t>HỢP ĐỒNG KINH TẾ</w:t>
      </w:r>
    </w:p>
    <w:p>
      <w:pPr>
        <w:spacing w:after="40" w:line="252" w:lineRule="auto"/>
        <w:jc w:val="center"/>
      </w:pPr>
      <w:r>
        <w:rPr>
          <w:rFonts w:ascii="Times New Roman" w:hAnsi="Times New Roman" w:eastAsia="Times New Roman"/>
          <w:b/>
          <w:i w:val="0"/>
          <w:sz w:val="22"/>
        </w:rPr>
        <w:t>Số: {{so_hop_dong}}/HĐKT/TH</w:t>
      </w:r>
    </w:p>
    <w:p>
      <w:pPr>
        <w:spacing w:after="40" w:line="252" w:lineRule="auto"/>
      </w:pPr>
      <w:r>
        <w:rPr>
          <w:rFonts w:ascii="Times New Roman" w:hAnsi="Times New Roman" w:eastAsia="Times New Roman"/>
          <w:b/>
          <w:i w:val="0"/>
          <w:sz w:val="20"/>
        </w:rPr>
        <w:t>Căn cứ ký kết:</w:t>
      </w:r>
    </w:p>
    <w:p>
      <w:pPr>
        <w:spacing w:after="20"/>
        <w:ind w:left="227"/>
      </w:pPr>
      <w:r>
        <w:rPr>
          <w:rFonts w:ascii="Times New Roman" w:hAnsi="Times New Roman" w:eastAsia="Times New Roman"/>
          <w:sz w:val="18"/>
        </w:rPr>
        <w:t>• Bộ luật Dân sự năm 2015, đặc biệt các quy định về giao kết, thực hiện hợp đồng, phạt vi phạm, bồi thường thiệt hại, chậm thực hiện nghĩa vụ, bất khả kháng, tạm ngừng/đơn phương chấm dứt hợp đồng và hiệu lực giao dịch dân sự;</w:t>
      </w:r>
    </w:p>
    <w:p>
      <w:pPr>
        <w:spacing w:after="20"/>
        <w:ind w:left="227"/>
      </w:pPr>
      <w:r>
        <w:rPr>
          <w:rFonts w:ascii="Times New Roman" w:hAnsi="Times New Roman" w:eastAsia="Times New Roman"/>
          <w:sz w:val="18"/>
        </w:rPr>
        <w:t>• Luật Thương mại năm 2005, đặc biệt các quy định về phạt vi phạm, bồi thường thiệt hại, lãi chậm thanh toán, tạm ngừng/đình chỉ/hủy bỏ hợp đồng, mua bán hàng hóa, cung ứng dịch vụ và nghĩa vụ của thương nhân;</w:t>
      </w:r>
    </w:p>
    <w:p>
      <w:pPr>
        <w:spacing w:after="20"/>
        <w:ind w:left="227"/>
      </w:pPr>
      <w:r>
        <w:rPr>
          <w:rFonts w:ascii="Times New Roman" w:hAnsi="Times New Roman" w:eastAsia="Times New Roman"/>
          <w:sz w:val="18"/>
        </w:rPr>
        <w:t>• Luật Giao dịch điện tử năm 2023 và các văn bản hướng dẫn về thông điệp dữ liệu, chứng cứ điện tử, chữ ký điện tử/chữ ký số và giá trị pháp lý của giao dịch điện tử;</w:t>
      </w:r>
    </w:p>
    <w:p>
      <w:pPr>
        <w:spacing w:after="20"/>
        <w:ind w:left="227"/>
      </w:pPr>
      <w:r>
        <w:rPr>
          <w:rFonts w:ascii="Times New Roman" w:hAnsi="Times New Roman" w:eastAsia="Times New Roman"/>
          <w:sz w:val="18"/>
        </w:rPr>
        <w:t>• Bộ luật Tố tụng dân sự năm 2015, đặc biệt quy định về chứng cứ và nguồn chứng cứ khi có tranh chấp;</w:t>
      </w:r>
    </w:p>
    <w:p>
      <w:pPr>
        <w:spacing w:after="20"/>
        <w:ind w:left="227"/>
      </w:pPr>
      <w:r>
        <w:rPr>
          <w:rFonts w:ascii="Times New Roman" w:hAnsi="Times New Roman" w:eastAsia="Times New Roman"/>
          <w:sz w:val="18"/>
        </w:rPr>
        <w:t>• Nghị quyết 01/2019/NQ-HĐTP và các hướng dẫn xét xử có liên quan đến xác định lãi suất, lãi chậm trả và nghĩa vụ thanh toán;</w:t>
      </w:r>
    </w:p>
    <w:p>
      <w:pPr>
        <w:spacing w:after="20"/>
        <w:ind w:left="227"/>
      </w:pPr>
      <w:r>
        <w:rPr>
          <w:rFonts w:ascii="Times New Roman" w:hAnsi="Times New Roman" w:eastAsia="Times New Roman"/>
          <w:sz w:val="18"/>
        </w:rPr>
        <w:t>• Các quy định pháp luật hiện hành về thuế, hóa đơn, chứng từ, an toàn lao động, an toàn điện, phòng cháy chữa cháy, bảo vệ dữ liệu/hồ sơ, bảo hành và quy định chuyên ngành có liên quan tại thời điểm ký kết và thực hiện hợp đồng;</w:t>
      </w:r>
    </w:p>
    <w:p>
      <w:pPr>
        <w:spacing w:after="20"/>
        <w:ind w:left="227"/>
      </w:pPr>
      <w:r>
        <w:rPr>
          <w:rFonts w:ascii="Times New Roman" w:hAnsi="Times New Roman" w:eastAsia="Times New Roman"/>
          <w:sz w:val="18"/>
        </w:rPr>
        <w:t>• Báo giá, phụ lục, đơn đặt hàng, biên bản khảo sát, biên bản giao nhận, biên bản nghiệm thu, bảng quyết toán, thư đề nghị thanh toán, email/xác nhận điện tử và các tài liệu hợp lệ khác của hai bên.</w:t>
      </w:r>
    </w:p>
    <w:p>
      <w:pPr>
        <w:spacing w:after="40" w:line="252" w:lineRule="auto"/>
      </w:pPr>
      <w:r>
        <w:rPr>
          <w:rFonts w:ascii="Times New Roman" w:hAnsi="Times New Roman" w:eastAsia="Times New Roman"/>
          <w:b w:val="0"/>
          <w:i/>
          <w:sz w:val="20"/>
        </w:rPr>
        <w:t>Hôm nay, ngày {{ngay}} tháng {{thang}} năm {{nam}}, tại {{dia_diem_ky}}, chúng tôi gồm:</w:t>
      </w:r>
    </w:p>
    <w:tbl>
      <w:tblPr>
        <w:tblStyle w:val="TableGrid"/>
        <w:tblW w:type="auto" w:w="0"/>
        <w:jc w:val="center"/>
        <w:tblLook w:firstColumn="1" w:firstRow="1" w:lastColumn="0" w:lastRow="0" w:noHBand="0" w:noVBand="1" w:val="04A0"/>
      </w:tblPr>
      <w:tblGrid>
        <w:gridCol w:w="5270"/>
        <w:gridCol w:w="5270"/>
      </w:tblGrid>
      <w:tr>
        <w:trPr>
          <w:tblHeader w:val="true"/>
        </w:trPr>
        <w:tc>
          <w:tcPr>
            <w:tcW w:type="dxa" w:w="5270"/>
            <w:vAlign w:val="center"/>
            <w:shd w:fill="D9EAF7"/>
          </w:tcPr>
          <w:p>
            <w:pPr>
              <w:spacing w:after="20"/>
              <w:jc w:val="center"/>
            </w:pPr>
            <w:r/>
            <w:r>
              <w:rPr>
                <w:rFonts w:ascii="Times New Roman" w:hAnsi="Times New Roman" w:eastAsia="Times New Roman"/>
                <w:b/>
                <w:sz w:val="20"/>
              </w:rPr>
              <w:t>BÊN A - KHÁCH HÀNG / ĐỐI TÁC</w:t>
            </w:r>
          </w:p>
        </w:tc>
        <w:tc>
          <w:tcPr>
            <w:tcW w:type="dxa" w:w="5270"/>
            <w:vAlign w:val="center"/>
            <w:shd w:fill="D9EAF7"/>
          </w:tcPr>
          <w:p>
            <w:pPr>
              <w:spacing w:after="20"/>
              <w:jc w:val="center"/>
            </w:pPr>
            <w:r/>
            <w:r>
              <w:rPr>
                <w:rFonts w:ascii="Times New Roman" w:hAnsi="Times New Roman" w:eastAsia="Times New Roman"/>
                <w:b/>
                <w:sz w:val="20"/>
              </w:rPr>
              <w:t>BÊN B - THANH HOÀI</w:t>
            </w:r>
          </w:p>
        </w:tc>
      </w:tr>
      <w:tr>
        <w:tc>
          <w:tcPr>
            <w:tcW w:type="dxa" w:w="5270"/>
            <w:vAlign w:val="center"/>
          </w:tcPr>
          <w:p>
            <w:pPr>
              <w:spacing w:after="20"/>
              <w:jc w:val="left"/>
            </w:pPr>
            <w:r/>
            <w:r>
              <w:rPr>
                <w:rFonts w:ascii="Times New Roman" w:hAnsi="Times New Roman" w:eastAsia="Times New Roman"/>
                <w:b w:val="0"/>
                <w:sz w:val="20"/>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270"/>
            <w:vAlign w:val="center"/>
          </w:tcPr>
          <w:p>
            <w:pPr>
              <w:spacing w:after="20"/>
              <w:jc w:val="left"/>
            </w:pPr>
            <w:r/>
            <w:r>
              <w:rPr>
                <w:rFonts w:ascii="Times New Roman" w:hAnsi="Times New Roman" w:eastAsia="Times New Roman"/>
                <w:b w:val="0"/>
                <w:sz w:val="20"/>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pPr>
        <w:spacing w:after="40" w:line="252" w:lineRule="auto"/>
      </w:pPr>
      <w:r>
        <w:rPr>
          <w:rFonts w:ascii="Times New Roman" w:hAnsi="Times New Roman" w:eastAsia="Times New Roman"/>
          <w:b w:val="0"/>
          <w:i w:val="0"/>
          <w:sz w:val="20"/>
        </w:rPr>
      </w:r>
    </w:p>
    <w:p>
      <w:pPr>
        <w:spacing w:after="40" w:line="252" w:lineRule="auto"/>
      </w:pPr>
      <w:r>
        <w:rPr>
          <w:rFonts w:ascii="Times New Roman" w:hAnsi="Times New Roman" w:eastAsia="Times New Roman"/>
          <w:b w:val="0"/>
          <w:i w:val="0"/>
          <w:sz w:val="20"/>
        </w:rPr>
        <w:t>Sau khi bàn bạc trên tinh thần thiện chí, trung thực, bình đẳng và cùng có lợi, hai bên thống nhất ký kết văn bản này với các điều khoản sau:</w:t>
      </w:r>
    </w:p>
    <w:p>
      <w:pPr>
        <w:spacing w:after="40" w:line="252" w:lineRule="auto"/>
      </w:pPr>
      <w:r>
        <w:rPr>
          <w:rFonts w:ascii="Times New Roman" w:hAnsi="Times New Roman" w:eastAsia="Times New Roman"/>
          <w:b/>
          <w:i w:val="0"/>
          <w:sz w:val="21"/>
        </w:rPr>
        <w:t>Điều 1. Nội dung, phạm vi và hồ sơ hợp đồng</w:t>
      </w:r>
    </w:p>
    <w:p>
      <w:pPr>
        <w:spacing w:after="40"/>
        <w:ind w:left="227" w:hanging="142"/>
      </w:pPr>
      <w:r>
        <w:rPr>
          <w:rFonts w:ascii="Times New Roman" w:hAnsi="Times New Roman" w:eastAsia="Times New Roman"/>
          <w:sz w:val="20"/>
        </w:rPr>
        <w:t>1. Bên B cung cấp cho Bên A các hàng hóa, dịch vụ, công việc sau: {{noi_dung_hop_dong}}.</w:t>
      </w:r>
    </w:p>
    <w:p>
      <w:pPr>
        <w:spacing w:after="40"/>
        <w:ind w:left="227" w:hanging="142"/>
      </w:pPr>
      <w:r>
        <w:rPr>
          <w:rFonts w:ascii="Times New Roman" w:hAnsi="Times New Roman" w:eastAsia="Times New Roman"/>
          <w:sz w:val="20"/>
        </w:rPr>
        <w:t>2. Chi tiết về phạm vi công việc, số lượng, đơn giá, tiến độ, chất lượng và hồ sơ bàn giao được quy định tại bảng dưới đây, báo giá, phụ lục, đơn đặt hàng, bản vẽ, biên bản khảo sát và tài liệu kèm theo.</w:t>
      </w:r>
    </w:p>
    <w:p>
      <w:pPr>
        <w:spacing w:after="40"/>
        <w:ind w:left="227" w:hanging="142"/>
      </w:pPr>
      <w:r>
        <w:rPr>
          <w:rFonts w:ascii="Times New Roman" w:hAnsi="Times New Roman" w:eastAsia="Times New Roman"/>
          <w:sz w:val="20"/>
        </w:rPr>
        <w:t>3. Hồ sơ hợp đồng gồm Hợp đồng này, phụ lục, báo giá, biên bản khảo sát, xác nhận điện tử, biên bản giao nhận, biên bản nghiệm thu, bảng quyết toán, hóa đơn và các tài liệu được hai bên xác nhận hợp lệ.</w:t>
      </w:r>
    </w:p>
    <w:p>
      <w:pPr>
        <w:spacing w:after="40"/>
        <w:ind w:left="227" w:hanging="142"/>
      </w:pPr>
      <w:r>
        <w:rPr>
          <w:rFonts w:ascii="Times New Roman" w:hAnsi="Times New Roman" w:eastAsia="Times New Roman"/>
          <w:sz w:val="20"/>
        </w:rPr>
        <w:t>4. Trường hợp có mâu thuẫn giữa các tài liệu, thứ tự ưu tiên là phụ lục/xác nhận phát sinh ký sau cùng, Hợp đồng này, báo giá/đơn đặt hàng, hồ sơ kỹ thuật, biên bản nghiệm thu/giao nhận và xác nhận điện tử hợp lệ.</w:t>
      </w:r>
    </w:p>
    <w:p>
      <w:pPr>
        <w:spacing w:before="20" w:after="80"/>
        <w:ind w:left="198"/>
      </w:pPr>
      <w:r>
        <w:rPr>
          <w:rFonts w:ascii="Times New Roman" w:hAnsi="Times New Roman" w:eastAsia="Times New Roman"/>
          <w:i/>
          <w:color w:val="464646"/>
          <w:sz w:val="17"/>
        </w:rPr>
        <w:t>Cơ sở pháp lý tham chiếu nội bộ: Bộ luật Dân sự 2015 về giao kết, hiệu lực, giải thích hợp đồng; Luật Thương mại 2005 về hoạt động thương mại, mua bán hàng hóa/cung ứng dịch vụ.</w:t>
      </w:r>
    </w:p>
    <w:p>
      <w:pPr>
        <w:spacing w:after="40" w:line="252" w:lineRule="auto"/>
      </w:pPr>
      <w:r>
        <w:rPr>
          <w:rFonts w:ascii="Times New Roman" w:hAnsi="Times New Roman" w:eastAsia="Times New Roman"/>
          <w:b/>
          <w:i w:val="0"/>
          <w:sz w:val="20"/>
        </w:rPr>
        <w:t>Danh mục hàng hóa/dịch vụ/hạng mục</w:t>
      </w:r>
    </w:p>
    <w:tbl>
      <w:tblPr>
        <w:tblStyle w:val="TableGrid"/>
        <w:tblW w:type="auto" w:w="0"/>
        <w:jc w:val="center"/>
        <w:tblLook w:firstColumn="1" w:firstRow="1" w:lastColumn="0" w:lastRow="0" w:noHBand="0" w:noVBand="1" w:val="04A0"/>
      </w:tblPr>
      <w:tblGrid>
        <w:gridCol w:w="1317"/>
        <w:gridCol w:w="1317"/>
        <w:gridCol w:w="1317"/>
        <w:gridCol w:w="1317"/>
        <w:gridCol w:w="1317"/>
        <w:gridCol w:w="1317"/>
        <w:gridCol w:w="1317"/>
        <w:gridCol w:w="1317"/>
      </w:tblGrid>
      <w:tr>
        <w:trPr>
          <w:tblHeader w:val="true"/>
        </w:trPr>
        <w:tc>
          <w:tcPr>
            <w:tcW w:type="dxa" w:w="1317"/>
            <w:vAlign w:val="center"/>
            <w:shd w:fill="D9EAF7"/>
          </w:tcPr>
          <w:p>
            <w:pPr>
              <w:jc w:val="center"/>
            </w:pPr>
            <w:r/>
            <w:r>
              <w:rPr>
                <w:rFonts w:ascii="Times New Roman" w:hAnsi="Times New Roman" w:eastAsia="Times New Roman"/>
                <w:b/>
                <w:sz w:val="17"/>
              </w:rPr>
              <w:t>STT</w:t>
            </w:r>
          </w:p>
        </w:tc>
        <w:tc>
          <w:tcPr>
            <w:tcW w:type="dxa" w:w="1317"/>
            <w:vAlign w:val="center"/>
            <w:shd w:fill="D9EAF7"/>
          </w:tcPr>
          <w:p>
            <w:pPr>
              <w:jc w:val="center"/>
            </w:pPr>
            <w:r/>
            <w:r>
              <w:rPr>
                <w:rFonts w:ascii="Times New Roman" w:hAnsi="Times New Roman" w:eastAsia="Times New Roman"/>
                <w:b/>
                <w:sz w:val="17"/>
              </w:rPr>
              <w:t>Tên hàng hóa / hạng mục</w:t>
            </w:r>
          </w:p>
        </w:tc>
        <w:tc>
          <w:tcPr>
            <w:tcW w:type="dxa" w:w="1317"/>
            <w:vAlign w:val="center"/>
            <w:shd w:fill="D9EAF7"/>
          </w:tcPr>
          <w:p>
            <w:pPr>
              <w:jc w:val="center"/>
            </w:pPr>
            <w:r/>
            <w:r>
              <w:rPr>
                <w:rFonts w:ascii="Times New Roman" w:hAnsi="Times New Roman" w:eastAsia="Times New Roman"/>
                <w:b/>
                <w:sz w:val="17"/>
              </w:rPr>
              <w:t>Quy cách / Model</w:t>
            </w:r>
          </w:p>
        </w:tc>
        <w:tc>
          <w:tcPr>
            <w:tcW w:type="dxa" w:w="1317"/>
            <w:vAlign w:val="center"/>
            <w:shd w:fill="D9EAF7"/>
          </w:tcPr>
          <w:p>
            <w:pPr>
              <w:jc w:val="center"/>
            </w:pPr>
            <w:r/>
            <w:r>
              <w:rPr>
                <w:rFonts w:ascii="Times New Roman" w:hAnsi="Times New Roman" w:eastAsia="Times New Roman"/>
                <w:b/>
                <w:sz w:val="17"/>
              </w:rPr>
              <w:t>ĐVT</w:t>
            </w:r>
          </w:p>
        </w:tc>
        <w:tc>
          <w:tcPr>
            <w:tcW w:type="dxa" w:w="1317"/>
            <w:vAlign w:val="center"/>
            <w:shd w:fill="D9EAF7"/>
          </w:tcPr>
          <w:p>
            <w:pPr>
              <w:jc w:val="center"/>
            </w:pPr>
            <w:r/>
            <w:r>
              <w:rPr>
                <w:rFonts w:ascii="Times New Roman" w:hAnsi="Times New Roman" w:eastAsia="Times New Roman"/>
                <w:b/>
                <w:sz w:val="17"/>
              </w:rPr>
              <w:t>Số lượng</w:t>
            </w:r>
          </w:p>
        </w:tc>
        <w:tc>
          <w:tcPr>
            <w:tcW w:type="dxa" w:w="1317"/>
            <w:vAlign w:val="center"/>
            <w:shd w:fill="D9EAF7"/>
          </w:tcPr>
          <w:p>
            <w:pPr>
              <w:jc w:val="center"/>
            </w:pPr>
            <w:r/>
            <w:r>
              <w:rPr>
                <w:rFonts w:ascii="Times New Roman" w:hAnsi="Times New Roman" w:eastAsia="Times New Roman"/>
                <w:b/>
                <w:sz w:val="17"/>
              </w:rPr>
              <w:t>Đơn giá</w:t>
            </w:r>
          </w:p>
        </w:tc>
        <w:tc>
          <w:tcPr>
            <w:tcW w:type="dxa" w:w="1317"/>
            <w:vAlign w:val="center"/>
            <w:shd w:fill="D9EAF7"/>
          </w:tcPr>
          <w:p>
            <w:pPr>
              <w:jc w:val="center"/>
            </w:pPr>
            <w:r/>
            <w:r>
              <w:rPr>
                <w:rFonts w:ascii="Times New Roman" w:hAnsi="Times New Roman" w:eastAsia="Times New Roman"/>
                <w:b/>
                <w:sz w:val="17"/>
              </w:rPr>
              <w:t>Thành tiền</w:t>
            </w:r>
          </w:p>
        </w:tc>
        <w:tc>
          <w:tcPr>
            <w:tcW w:type="dxa" w:w="1317"/>
            <w:vAlign w:val="center"/>
            <w:shd w:fill="D9EAF7"/>
          </w:tcPr>
          <w:p>
            <w:pPr>
              <w:jc w:val="center"/>
            </w:pPr>
            <w:r/>
            <w:r>
              <w:rPr>
                <w:rFonts w:ascii="Times New Roman" w:hAnsi="Times New Roman" w:eastAsia="Times New Roman"/>
                <w:b/>
                <w:sz w:val="17"/>
              </w:rPr>
              <w:t>Ghi chú</w:t>
            </w:r>
          </w:p>
        </w:tc>
      </w:tr>
      <w:tr>
        <w:tc>
          <w:tcPr>
            <w:tcW w:type="dxa" w:w="1317"/>
            <w:vAlign w:val="center"/>
          </w:tcPr>
          <w:p>
            <w:pPr>
              <w:jc w:val="center"/>
            </w:pPr>
            <w:r/>
            <w:r>
              <w:rPr>
                <w:rFonts w:ascii="Times New Roman" w:hAnsi="Times New Roman" w:eastAsia="Times New Roman"/>
                <w:b w:val="0"/>
                <w:sz w:val="16"/>
              </w:rPr>
              <w:t>1</w:t>
            </w:r>
          </w:p>
        </w:tc>
        <w:tc>
          <w:tcPr>
            <w:tcW w:type="dxa" w:w="1317"/>
            <w:vAlign w:val="center"/>
          </w:tcPr>
          <w:p>
            <w:pPr>
              <w:jc w:val="left"/>
            </w:pPr>
            <w:r/>
            <w:r>
              <w:rPr>
                <w:rFonts w:ascii="Times New Roman" w:hAnsi="Times New Roman" w:eastAsia="Times New Roman"/>
                <w:b w:val="0"/>
                <w:sz w:val="16"/>
              </w:rPr>
              <w:t>{{ten_hang_muc_1}}</w:t>
            </w:r>
          </w:p>
        </w:tc>
        <w:tc>
          <w:tcPr>
            <w:tcW w:type="dxa" w:w="1317"/>
            <w:vAlign w:val="center"/>
          </w:tcPr>
          <w:p>
            <w:pPr>
              <w:jc w:val="left"/>
            </w:pPr>
            <w:r/>
            <w:r>
              <w:rPr>
                <w:rFonts w:ascii="Times New Roman" w:hAnsi="Times New Roman" w:eastAsia="Times New Roman"/>
                <w:b w:val="0"/>
                <w:sz w:val="16"/>
              </w:rPr>
              <w:t>{{quy_cach_1}}</w:t>
            </w:r>
          </w:p>
        </w:tc>
        <w:tc>
          <w:tcPr>
            <w:tcW w:type="dxa" w:w="1317"/>
            <w:vAlign w:val="center"/>
          </w:tcPr>
          <w:p>
            <w:pPr>
              <w:jc w:val="center"/>
            </w:pPr>
            <w:r/>
            <w:r>
              <w:rPr>
                <w:rFonts w:ascii="Times New Roman" w:hAnsi="Times New Roman" w:eastAsia="Times New Roman"/>
                <w:b w:val="0"/>
                <w:sz w:val="16"/>
              </w:rPr>
              <w:t>{{dvt_1}}</w:t>
            </w:r>
          </w:p>
        </w:tc>
        <w:tc>
          <w:tcPr>
            <w:tcW w:type="dxa" w:w="1317"/>
            <w:vAlign w:val="center"/>
          </w:tcPr>
          <w:p>
            <w:pPr>
              <w:jc w:val="center"/>
            </w:pPr>
            <w:r/>
            <w:r>
              <w:rPr>
                <w:rFonts w:ascii="Times New Roman" w:hAnsi="Times New Roman" w:eastAsia="Times New Roman"/>
                <w:b w:val="0"/>
                <w:sz w:val="16"/>
              </w:rPr>
              <w:t>{{so_luong_1}}</w:t>
            </w:r>
          </w:p>
        </w:tc>
        <w:tc>
          <w:tcPr>
            <w:tcW w:type="dxa" w:w="1317"/>
            <w:vAlign w:val="center"/>
          </w:tcPr>
          <w:p>
            <w:pPr>
              <w:jc w:val="center"/>
            </w:pPr>
            <w:r/>
            <w:r>
              <w:rPr>
                <w:rFonts w:ascii="Times New Roman" w:hAnsi="Times New Roman" w:eastAsia="Times New Roman"/>
                <w:b w:val="0"/>
                <w:sz w:val="16"/>
              </w:rPr>
              <w:t>{{don_gia_1}}</w:t>
            </w:r>
          </w:p>
        </w:tc>
        <w:tc>
          <w:tcPr>
            <w:tcW w:type="dxa" w:w="1317"/>
            <w:vAlign w:val="center"/>
          </w:tcPr>
          <w:p>
            <w:pPr>
              <w:jc w:val="center"/>
            </w:pPr>
            <w:r/>
            <w:r>
              <w:rPr>
                <w:rFonts w:ascii="Times New Roman" w:hAnsi="Times New Roman" w:eastAsia="Times New Roman"/>
                <w:b w:val="0"/>
                <w:sz w:val="16"/>
              </w:rPr>
              <w:t>{{thanh_tien_1}}</w:t>
            </w:r>
          </w:p>
        </w:tc>
        <w:tc>
          <w:tcPr>
            <w:tcW w:type="dxa" w:w="1317"/>
            <w:vAlign w:val="center"/>
          </w:tcPr>
          <w:p>
            <w:pPr>
              <w:jc w:val="left"/>
            </w:pPr>
            <w:r/>
            <w:r>
              <w:rPr>
                <w:rFonts w:ascii="Times New Roman" w:hAnsi="Times New Roman" w:eastAsia="Times New Roman"/>
                <w:b w:val="0"/>
                <w:sz w:val="16"/>
              </w:rPr>
              <w:t>{{ghi_chu_1}}</w:t>
            </w:r>
          </w:p>
        </w:tc>
      </w:tr>
      <w:tr>
        <w:tc>
          <w:tcPr>
            <w:tcW w:type="dxa" w:w="1317"/>
            <w:vAlign w:val="center"/>
          </w:tcPr>
          <w:p>
            <w:pPr>
              <w:jc w:val="center"/>
            </w:pPr>
            <w:r/>
            <w:r>
              <w:rPr>
                <w:rFonts w:ascii="Times New Roman" w:hAnsi="Times New Roman" w:eastAsia="Times New Roman"/>
                <w:b w:val="0"/>
                <w:sz w:val="16"/>
              </w:rPr>
              <w:t>2</w:t>
            </w:r>
          </w:p>
        </w:tc>
        <w:tc>
          <w:tcPr>
            <w:tcW w:type="dxa" w:w="1317"/>
            <w:vAlign w:val="center"/>
          </w:tcPr>
          <w:p>
            <w:pPr>
              <w:jc w:val="left"/>
            </w:pPr>
            <w:r/>
            <w:r>
              <w:rPr>
                <w:rFonts w:ascii="Times New Roman" w:hAnsi="Times New Roman" w:eastAsia="Times New Roman"/>
                <w:b w:val="0"/>
                <w:sz w:val="16"/>
              </w:rPr>
              <w:t>{{ten_hang_muc_2}}</w:t>
            </w:r>
          </w:p>
        </w:tc>
        <w:tc>
          <w:tcPr>
            <w:tcW w:type="dxa" w:w="1317"/>
            <w:vAlign w:val="center"/>
          </w:tcPr>
          <w:p>
            <w:pPr>
              <w:jc w:val="left"/>
            </w:pPr>
            <w:r/>
            <w:r>
              <w:rPr>
                <w:rFonts w:ascii="Times New Roman" w:hAnsi="Times New Roman" w:eastAsia="Times New Roman"/>
                <w:b w:val="0"/>
                <w:sz w:val="16"/>
              </w:rPr>
              <w:t>{{quy_cach_2}}</w:t>
            </w:r>
          </w:p>
        </w:tc>
        <w:tc>
          <w:tcPr>
            <w:tcW w:type="dxa" w:w="1317"/>
            <w:vAlign w:val="center"/>
          </w:tcPr>
          <w:p>
            <w:pPr>
              <w:jc w:val="center"/>
            </w:pPr>
            <w:r/>
            <w:r>
              <w:rPr>
                <w:rFonts w:ascii="Times New Roman" w:hAnsi="Times New Roman" w:eastAsia="Times New Roman"/>
                <w:b w:val="0"/>
                <w:sz w:val="16"/>
              </w:rPr>
              <w:t>{{dvt_2}}</w:t>
            </w:r>
          </w:p>
        </w:tc>
        <w:tc>
          <w:tcPr>
            <w:tcW w:type="dxa" w:w="1317"/>
            <w:vAlign w:val="center"/>
          </w:tcPr>
          <w:p>
            <w:pPr>
              <w:jc w:val="center"/>
            </w:pPr>
            <w:r/>
            <w:r>
              <w:rPr>
                <w:rFonts w:ascii="Times New Roman" w:hAnsi="Times New Roman" w:eastAsia="Times New Roman"/>
                <w:b w:val="0"/>
                <w:sz w:val="16"/>
              </w:rPr>
              <w:t>{{so_luong_2}}</w:t>
            </w:r>
          </w:p>
        </w:tc>
        <w:tc>
          <w:tcPr>
            <w:tcW w:type="dxa" w:w="1317"/>
            <w:vAlign w:val="center"/>
          </w:tcPr>
          <w:p>
            <w:pPr>
              <w:jc w:val="center"/>
            </w:pPr>
            <w:r/>
            <w:r>
              <w:rPr>
                <w:rFonts w:ascii="Times New Roman" w:hAnsi="Times New Roman" w:eastAsia="Times New Roman"/>
                <w:b w:val="0"/>
                <w:sz w:val="16"/>
              </w:rPr>
              <w:t>{{don_gia_2}}</w:t>
            </w:r>
          </w:p>
        </w:tc>
        <w:tc>
          <w:tcPr>
            <w:tcW w:type="dxa" w:w="1317"/>
            <w:vAlign w:val="center"/>
          </w:tcPr>
          <w:p>
            <w:pPr>
              <w:jc w:val="center"/>
            </w:pPr>
            <w:r/>
            <w:r>
              <w:rPr>
                <w:rFonts w:ascii="Times New Roman" w:hAnsi="Times New Roman" w:eastAsia="Times New Roman"/>
                <w:b w:val="0"/>
                <w:sz w:val="16"/>
              </w:rPr>
              <w:t>{{thanh_tien_2}}</w:t>
            </w:r>
          </w:p>
        </w:tc>
        <w:tc>
          <w:tcPr>
            <w:tcW w:type="dxa" w:w="1317"/>
            <w:vAlign w:val="center"/>
          </w:tcPr>
          <w:p>
            <w:pPr>
              <w:jc w:val="left"/>
            </w:pPr>
            <w:r/>
            <w:r>
              <w:rPr>
                <w:rFonts w:ascii="Times New Roman" w:hAnsi="Times New Roman" w:eastAsia="Times New Roman"/>
                <w:b w:val="0"/>
                <w:sz w:val="16"/>
              </w:rPr>
              <w:t>{{ghi_chu_2}}</w:t>
            </w:r>
          </w:p>
        </w:tc>
      </w:tr>
      <w:tr>
        <w:tc>
          <w:tcPr>
            <w:tcW w:type="dxa" w:w="1317"/>
            <w:vAlign w:val="center"/>
          </w:tcPr>
          <w:p>
            <w:pPr>
              <w:jc w:val="center"/>
            </w:pPr>
            <w:r/>
            <w:r>
              <w:rPr>
                <w:rFonts w:ascii="Times New Roman" w:hAnsi="Times New Roman" w:eastAsia="Times New Roman"/>
                <w:b w:val="0"/>
                <w:sz w:val="16"/>
              </w:rPr>
              <w:t>3</w:t>
            </w:r>
          </w:p>
        </w:tc>
        <w:tc>
          <w:tcPr>
            <w:tcW w:type="dxa" w:w="1317"/>
            <w:vAlign w:val="center"/>
          </w:tcPr>
          <w:p>
            <w:pPr>
              <w:jc w:val="left"/>
            </w:pPr>
            <w:r/>
            <w:r>
              <w:rPr>
                <w:rFonts w:ascii="Times New Roman" w:hAnsi="Times New Roman" w:eastAsia="Times New Roman"/>
                <w:b w:val="0"/>
                <w:sz w:val="16"/>
              </w:rPr>
              <w:t>{{ten_hang_muc_3}}</w:t>
            </w:r>
          </w:p>
        </w:tc>
        <w:tc>
          <w:tcPr>
            <w:tcW w:type="dxa" w:w="1317"/>
            <w:vAlign w:val="center"/>
          </w:tcPr>
          <w:p>
            <w:pPr>
              <w:jc w:val="left"/>
            </w:pPr>
            <w:r/>
            <w:r>
              <w:rPr>
                <w:rFonts w:ascii="Times New Roman" w:hAnsi="Times New Roman" w:eastAsia="Times New Roman"/>
                <w:b w:val="0"/>
                <w:sz w:val="16"/>
              </w:rPr>
              <w:t>{{quy_cach_3}}</w:t>
            </w:r>
          </w:p>
        </w:tc>
        <w:tc>
          <w:tcPr>
            <w:tcW w:type="dxa" w:w="1317"/>
            <w:vAlign w:val="center"/>
          </w:tcPr>
          <w:p>
            <w:pPr>
              <w:jc w:val="center"/>
            </w:pPr>
            <w:r/>
            <w:r>
              <w:rPr>
                <w:rFonts w:ascii="Times New Roman" w:hAnsi="Times New Roman" w:eastAsia="Times New Roman"/>
                <w:b w:val="0"/>
                <w:sz w:val="16"/>
              </w:rPr>
              <w:t>{{dvt_3}}</w:t>
            </w:r>
          </w:p>
        </w:tc>
        <w:tc>
          <w:tcPr>
            <w:tcW w:type="dxa" w:w="1317"/>
            <w:vAlign w:val="center"/>
          </w:tcPr>
          <w:p>
            <w:pPr>
              <w:jc w:val="center"/>
            </w:pPr>
            <w:r/>
            <w:r>
              <w:rPr>
                <w:rFonts w:ascii="Times New Roman" w:hAnsi="Times New Roman" w:eastAsia="Times New Roman"/>
                <w:b w:val="0"/>
                <w:sz w:val="16"/>
              </w:rPr>
              <w:t>{{so_luong_3}}</w:t>
            </w:r>
          </w:p>
        </w:tc>
        <w:tc>
          <w:tcPr>
            <w:tcW w:type="dxa" w:w="1317"/>
            <w:vAlign w:val="center"/>
          </w:tcPr>
          <w:p>
            <w:pPr>
              <w:jc w:val="center"/>
            </w:pPr>
            <w:r/>
            <w:r>
              <w:rPr>
                <w:rFonts w:ascii="Times New Roman" w:hAnsi="Times New Roman" w:eastAsia="Times New Roman"/>
                <w:b w:val="0"/>
                <w:sz w:val="16"/>
              </w:rPr>
              <w:t>{{don_gia_3}}</w:t>
            </w:r>
          </w:p>
        </w:tc>
        <w:tc>
          <w:tcPr>
            <w:tcW w:type="dxa" w:w="1317"/>
            <w:vAlign w:val="center"/>
          </w:tcPr>
          <w:p>
            <w:pPr>
              <w:jc w:val="center"/>
            </w:pPr>
            <w:r/>
            <w:r>
              <w:rPr>
                <w:rFonts w:ascii="Times New Roman" w:hAnsi="Times New Roman" w:eastAsia="Times New Roman"/>
                <w:b w:val="0"/>
                <w:sz w:val="16"/>
              </w:rPr>
              <w:t>{{thanh_tien_3}}</w:t>
            </w:r>
          </w:p>
        </w:tc>
        <w:tc>
          <w:tcPr>
            <w:tcW w:type="dxa" w:w="1317"/>
            <w:vAlign w:val="center"/>
          </w:tcPr>
          <w:p>
            <w:pPr>
              <w:jc w:val="left"/>
            </w:pPr>
            <w:r/>
            <w:r>
              <w:rPr>
                <w:rFonts w:ascii="Times New Roman" w:hAnsi="Times New Roman" w:eastAsia="Times New Roman"/>
                <w:b w:val="0"/>
                <w:sz w:val="16"/>
              </w:rPr>
              <w:t>{{ghi_chu_3}}</w:t>
            </w:r>
          </w:p>
        </w:tc>
      </w:tr>
    </w:tbl>
    <w:p>
      <w:pPr>
        <w:spacing w:after="40" w:line="252" w:lineRule="auto"/>
      </w:pPr>
      <w:r>
        <w:rPr>
          <w:rFonts w:ascii="Times New Roman" w:hAnsi="Times New Roman" w:eastAsia="Times New Roman"/>
          <w:b w:val="0"/>
          <w:i w:val="0"/>
          <w:sz w:val="20"/>
        </w:rPr>
      </w:r>
    </w:p>
    <w:p>
      <w:pPr>
        <w:spacing w:after="40" w:line="252" w:lineRule="auto"/>
      </w:pPr>
      <w:r>
        <w:rPr>
          <w:rFonts w:ascii="Times New Roman" w:hAnsi="Times New Roman" w:eastAsia="Times New Roman"/>
          <w:b/>
          <w:i w:val="0"/>
          <w:sz w:val="21"/>
        </w:rPr>
        <w:t>Điều 2. Giá trị hợp đồng, VAT và phát sinh</w:t>
      </w:r>
    </w:p>
    <w:p>
      <w:pPr>
        <w:spacing w:after="40"/>
        <w:ind w:left="227" w:hanging="142"/>
      </w:pPr>
      <w:r>
        <w:rPr>
          <w:rFonts w:ascii="Times New Roman" w:hAnsi="Times New Roman" w:eastAsia="Times New Roman"/>
          <w:sz w:val="20"/>
        </w:rPr>
        <w:t>1. Giá trị tạm tính/chốt của hợp đồng: {{gia_tri_hop_dong}} VNĐ; VAT: {{vat_rate}}%; Tổng thanh toán: {{tong_thanh_toan}} VNĐ.</w:t>
      </w:r>
    </w:p>
    <w:p>
      <w:pPr>
        <w:spacing w:after="40"/>
        <w:ind w:left="227" w:hanging="142"/>
      </w:pPr>
      <w:r>
        <w:rPr>
          <w:rFonts w:ascii="Times New Roman" w:hAnsi="Times New Roman" w:eastAsia="Times New Roman"/>
          <w:sz w:val="20"/>
        </w:rPr>
        <w:t>2. Giá có thể đã bao gồm hoặc chưa bao gồm VAT theo báo giá/phụ lục/hóa đơn. Trường hợp thông tin không rõ, ưu tiên áp dụng hóa đơn/chứng từ hợp lệ và quy định pháp luật tại thời điểm phát sinh.</w:t>
      </w:r>
    </w:p>
    <w:p>
      <w:pPr>
        <w:spacing w:after="40"/>
        <w:ind w:left="227" w:hanging="142"/>
      </w:pPr>
      <w:r>
        <w:rPr>
          <w:rFonts w:ascii="Times New Roman" w:hAnsi="Times New Roman" w:eastAsia="Times New Roman"/>
          <w:sz w:val="20"/>
        </w:rPr>
        <w:t>3. Phát sinh ngoài phạm vi hợp đồng phải lập xác nhận phát sinh riêng trước khi thực hiện, trừ trường hợp khẩn cấp cần xử lý để bảo đảm an toàn hoặc hạn chế thiệt hại; Bên A phải xác nhận lại bằng văn bản/email trong vòng 02 ngày làm việc kể từ khi Bên B gửi xác nhận.</w:t>
      </w:r>
    </w:p>
    <w:p>
      <w:pPr>
        <w:spacing w:after="40"/>
        <w:ind w:left="227" w:hanging="142"/>
      </w:pPr>
      <w:r>
        <w:rPr>
          <w:rFonts w:ascii="Times New Roman" w:hAnsi="Times New Roman" w:eastAsia="Times New Roman"/>
          <w:sz w:val="20"/>
        </w:rPr>
        <w:t>4. Khi có biến động vật tư, nhân công, vận chuyển, thuế/phí, tỷ giá hoặc điều kiện hiện trường khác với thông tin ban đầu, Bên B có quyền đề xuất điều chỉnh giá/tiến độ/phương án thực hiện.</w:t>
      </w:r>
    </w:p>
    <w:p>
      <w:pPr>
        <w:spacing w:before="20" w:after="80"/>
        <w:ind w:left="198"/>
      </w:pPr>
      <w:r>
        <w:rPr>
          <w:rFonts w:ascii="Times New Roman" w:hAnsi="Times New Roman" w:eastAsia="Times New Roman"/>
          <w:i/>
          <w:color w:val="464646"/>
          <w:sz w:val="17"/>
        </w:rPr>
        <w:t>Cơ sở pháp lý tham chiếu nội bộ: Luật Thương mại 2005 về giá, nghĩa vụ thanh toán và phát sinh trong thương mại; quy định thuế, VAT, hóa đơn, chứng từ hiện hành.</w:t>
      </w:r>
    </w:p>
    <w:p>
      <w:pPr>
        <w:spacing w:after="40" w:line="252" w:lineRule="auto"/>
      </w:pPr>
      <w:r>
        <w:rPr>
          <w:rFonts w:ascii="Times New Roman" w:hAnsi="Times New Roman" w:eastAsia="Times New Roman"/>
          <w:b/>
          <w:i w:val="0"/>
          <w:sz w:val="21"/>
        </w:rPr>
        <w:t>Điều 3. Tổ chức thực hiện, tiến độ và nghiệm thu</w:t>
      </w:r>
    </w:p>
    <w:p>
      <w:pPr>
        <w:spacing w:after="40"/>
        <w:ind w:left="227" w:hanging="142"/>
      </w:pPr>
      <w:r>
        <w:rPr>
          <w:rFonts w:ascii="Times New Roman" w:hAnsi="Times New Roman" w:eastAsia="Times New Roman"/>
          <w:sz w:val="20"/>
        </w:rPr>
        <w:t>1. Bên B tổ chức thực hiện đúng tiến độ và chất lượng đã thỏa thuận. Bên A phối hợp cung cấp thông tin, phê duyệt, bàn giao mặt bằng, nhận hàng, nghiệm thu và thanh toán.</w:t>
      </w:r>
    </w:p>
    <w:p>
      <w:pPr>
        <w:spacing w:after="40"/>
        <w:ind w:left="227" w:hanging="142"/>
      </w:pPr>
      <w:r>
        <w:rPr>
          <w:rFonts w:ascii="Times New Roman" w:hAnsi="Times New Roman" w:eastAsia="Times New Roman"/>
          <w:sz w:val="20"/>
        </w:rPr>
        <w:t>2. Nếu Bên A chậm bàn giao mặt bằng, chậm phê duyệt, chậm thanh toán, không cung cấp điều kiện thực hiện hoặc thay đổi yêu cầu, tiến độ được điều chỉnh tương ứng và chi phí phát sinh hợp lý do Bên A chịu.</w:t>
      </w:r>
    </w:p>
    <w:p>
      <w:pPr>
        <w:spacing w:after="40"/>
        <w:ind w:left="227" w:hanging="142"/>
      </w:pPr>
      <w:r>
        <w:rPr>
          <w:rFonts w:ascii="Times New Roman" w:hAnsi="Times New Roman" w:eastAsia="Times New Roman"/>
          <w:sz w:val="20"/>
        </w:rPr>
        <w:t>3. Nếu Bên A đã nhận và sử dụng dịch vụ/hàng hóa/công việc hoặc không có ý kiến bằng văn bản trong thời hạn 07 ngày làm việc kể từ khi nhận thông báo nghiệm thu/bàn giao, kết quả được xem là đã được chấp nhận, trừ lỗi ẩn được chứng minh hợp lệ.</w:t>
      </w:r>
    </w:p>
    <w:p>
      <w:pPr>
        <w:spacing w:after="40"/>
        <w:ind w:left="227" w:hanging="142"/>
      </w:pPr>
      <w:r>
        <w:rPr>
          <w:rFonts w:ascii="Times New Roman" w:hAnsi="Times New Roman" w:eastAsia="Times New Roman"/>
          <w:sz w:val="20"/>
        </w:rPr>
        <w:t>4. Bên A không được từ chối hoặc trì hoãn nghiệm thu mà không có lý do kỹ thuật cụ thể bằng văn bản.</w:t>
      </w:r>
    </w:p>
    <w:p>
      <w:pPr>
        <w:spacing w:before="20" w:after="80"/>
        <w:ind w:left="198"/>
      </w:pPr>
      <w:r>
        <w:rPr>
          <w:rFonts w:ascii="Times New Roman" w:hAnsi="Times New Roman" w:eastAsia="Times New Roman"/>
          <w:i/>
          <w:color w:val="464646"/>
          <w:sz w:val="17"/>
        </w:rPr>
        <w:t>Cơ sở pháp lý tham chiếu nội bộ: Bộ luật Dân sự 2015: Điều 394, 400; Luật Thương mại 2005 về giao nhận, kiểm tra, nghiệm thu, nghĩa vụ phối hợp.</w:t>
      </w:r>
    </w:p>
    <w:p>
      <w:pPr>
        <w:spacing w:after="40" w:line="252" w:lineRule="auto"/>
      </w:pPr>
      <w:r>
        <w:rPr>
          <w:rFonts w:ascii="Times New Roman" w:hAnsi="Times New Roman" w:eastAsia="Times New Roman"/>
          <w:b/>
          <w:i w:val="0"/>
          <w:sz w:val="21"/>
        </w:rPr>
        <w:t>Điều 4. Thanh toán, lãi chậm trả và hồ sơ thanh toán</w:t>
      </w:r>
    </w:p>
    <w:p>
      <w:pPr>
        <w:spacing w:after="40"/>
        <w:ind w:left="227" w:hanging="142"/>
      </w:pPr>
      <w:r>
        <w:rPr>
          <w:rFonts w:ascii="Times New Roman" w:hAnsi="Times New Roman" w:eastAsia="Times New Roman"/>
          <w:sz w:val="20"/>
        </w:rPr>
        <w:t>1. Phương thức thanh toán: chuyển khoản hoặc hình thức khác theo thỏa thuận. Tỷ lệ thanh toán: Đợt 1 {{dot_1_pct}}%; Đợt 2 {{dot_2_pct}}%; Đợt 3 {{dot_3_pct}}%; Đợt cuối {{dot_cuoi_pct}}% theo thời hạn ghi tại hợp đồng/phụ lục.</w:t>
      </w:r>
    </w:p>
    <w:p>
      <w:pPr>
        <w:spacing w:after="40"/>
        <w:ind w:left="227" w:hanging="142"/>
      </w:pPr>
      <w:r>
        <w:rPr>
          <w:rFonts w:ascii="Times New Roman" w:hAnsi="Times New Roman" w:eastAsia="Times New Roman"/>
          <w:sz w:val="20"/>
        </w:rPr>
        <w:t>2. Hồ sơ thanh toán có thể gồm thư đề nghị thanh toán, biên bản nghiệm thu, biên bản bàn giao, bảng xác nhận khối lượng, hóa đơn VAT, phiếu giao hàng, phiếu xuất kho, tài liệu kỹ thuật và chứng từ khác theo yêu cầu hợp lý.</w:t>
      </w:r>
    </w:p>
    <w:p>
      <w:pPr>
        <w:spacing w:after="40"/>
        <w:ind w:left="227" w:hanging="142"/>
      </w:pPr>
      <w:r>
        <w:rPr>
          <w:rFonts w:ascii="Times New Roman" w:hAnsi="Times New Roman" w:eastAsia="Times New Roman"/>
          <w:sz w:val="20"/>
        </w:rPr>
        <w:t>3. Nếu Bên A chậm thanh toán quá 07 ngày kể từ ngày đến hạn, Bên B có quyền yêu cầu lãi chậm trả 1,5%/tháng trên số tiền chậm trả; nếu pháp luật giới hạn mức tối đa thấp hơn thì áp dụng mức tối đa được phép.</w:t>
      </w:r>
    </w:p>
    <w:p>
      <w:pPr>
        <w:spacing w:after="40"/>
        <w:ind w:left="227" w:hanging="142"/>
      </w:pPr>
      <w:r>
        <w:rPr>
          <w:rFonts w:ascii="Times New Roman" w:hAnsi="Times New Roman" w:eastAsia="Times New Roman"/>
          <w:sz w:val="20"/>
        </w:rPr>
        <w:t>4. Nếu Bên A chậm thanh toán quá 05 ngày làm việc, Bên B gửi thông báo khắc phục trong 05 ngày làm việc. Nếu Bên A không khắc phục, Bên B có quyền tạm ngừng cung cấp dịch vụ/giao hàng/thi công, kéo dài tiến độ tương ứng và yêu cầu bồi thường chi phí phát sinh hợp lý.</w:t>
      </w:r>
    </w:p>
    <w:p>
      <w:pPr>
        <w:spacing w:before="20" w:after="80"/>
        <w:ind w:left="198"/>
      </w:pPr>
      <w:r>
        <w:rPr>
          <w:rFonts w:ascii="Times New Roman" w:hAnsi="Times New Roman" w:eastAsia="Times New Roman"/>
          <w:i/>
          <w:color w:val="464646"/>
          <w:sz w:val="17"/>
        </w:rPr>
        <w:t>Cơ sở pháp lý tham chiếu nội bộ: Luật Thương mại 2005: Điều 306, 308-312; Bộ luật Dân sự 2015: Điều 357, 411, 423, 424, 428, 468; Nghị quyết 01/2019/NQ-HĐTP: Điều 11.</w:t>
      </w:r>
    </w:p>
    <w:p>
      <w:pPr>
        <w:spacing w:after="40" w:line="252" w:lineRule="auto"/>
      </w:pPr>
      <w:r>
        <w:rPr>
          <w:rFonts w:ascii="Times New Roman" w:hAnsi="Times New Roman" w:eastAsia="Times New Roman"/>
          <w:b/>
          <w:i w:val="0"/>
          <w:sz w:val="21"/>
        </w:rPr>
        <w:t>Điều 5. Chất lượng, bảo hành và loại trừ bảo hành</w:t>
      </w:r>
    </w:p>
    <w:p>
      <w:pPr>
        <w:spacing w:after="40"/>
        <w:ind w:left="227" w:hanging="142"/>
      </w:pPr>
      <w:r>
        <w:rPr>
          <w:rFonts w:ascii="Times New Roman" w:hAnsi="Times New Roman" w:eastAsia="Times New Roman"/>
          <w:sz w:val="20"/>
        </w:rPr>
        <w:t>1. Bên B cam kết chất lượng hàng hóa/dịch vụ/công việc theo thỏa thuận. Thời hạn bảo hành: {{thoi_han_bao_hanh}} tháng hoặc theo tiêu chuẩn nhà sản xuất/phụ lục/báo giá.</w:t>
      </w:r>
    </w:p>
    <w:p>
      <w:pPr>
        <w:spacing w:after="40"/>
        <w:ind w:left="227" w:hanging="142"/>
      </w:pPr>
      <w:r>
        <w:rPr>
          <w:rFonts w:ascii="Times New Roman" w:hAnsi="Times New Roman" w:eastAsia="Times New Roman"/>
          <w:sz w:val="20"/>
        </w:rPr>
        <w:t>2. Bên B chỉ bảo hành lỗi kỹ thuật phát sinh trực tiếp từ hàng hóa/công việc do Bên B cung cấp/thực hiện và thuộc phạm vi trách nhiệm của Bên B.</w:t>
      </w:r>
    </w:p>
    <w:p>
      <w:pPr>
        <w:spacing w:after="40"/>
        <w:ind w:left="227" w:hanging="142"/>
      </w:pPr>
      <w:r>
        <w:rPr>
          <w:rFonts w:ascii="Times New Roman" w:hAnsi="Times New Roman" w:eastAsia="Times New Roman"/>
          <w:sz w:val="20"/>
        </w:rPr>
        <w:t>3. Không bảo hành đối với sử dụng sai, bên thứ ba không được Bên B/nhà sản xuất ủy quyền can thiệp, thiên tai, hỏa hoạn, ngập nước, sự cố điện vượt thông số kỹ thuật, hao mòn tự nhiên hoặc lỗi ngoài phạm vi trách nhiệm của Bên B.</w:t>
      </w:r>
    </w:p>
    <w:p>
      <w:pPr>
        <w:spacing w:after="40"/>
        <w:ind w:left="227" w:hanging="142"/>
      </w:pPr>
      <w:r>
        <w:rPr>
          <w:rFonts w:ascii="Times New Roman" w:hAnsi="Times New Roman" w:eastAsia="Times New Roman"/>
          <w:sz w:val="20"/>
        </w:rPr>
        <w:t>4. Yêu cầu bảo hành phải được Bên A thông báo bằng văn bản/email trong vòng 07 ngày kể từ khi phát hiện lỗi và Bên A phải tạo điều kiện để Bên B kiểm tra hiện trạng.</w:t>
      </w:r>
    </w:p>
    <w:p>
      <w:pPr>
        <w:spacing w:before="20" w:after="80"/>
        <w:ind w:left="198"/>
      </w:pPr>
      <w:r>
        <w:rPr>
          <w:rFonts w:ascii="Times New Roman" w:hAnsi="Times New Roman" w:eastAsia="Times New Roman"/>
          <w:i/>
          <w:color w:val="464646"/>
          <w:sz w:val="17"/>
        </w:rPr>
        <w:t>Cơ sở pháp lý tham chiếu nội bộ: Luật Thương mại 2005 về bảo hành hàng hóa/cung ứng dịch vụ; Bộ luật Dân sự 2015 về trách nhiệm do vi phạm nghĩa vụ và miễn trách nhiệm khi không có lỗi.</w:t>
      </w:r>
    </w:p>
    <w:p>
      <w:pPr>
        <w:spacing w:after="40" w:line="252" w:lineRule="auto"/>
      </w:pPr>
      <w:r>
        <w:rPr>
          <w:rFonts w:ascii="Times New Roman" w:hAnsi="Times New Roman" w:eastAsia="Times New Roman"/>
          <w:b/>
          <w:i w:val="0"/>
          <w:sz w:val="21"/>
        </w:rPr>
        <w:t>Điều 6. Phạt vi phạm và bồi thường thiệt hại</w:t>
      </w:r>
    </w:p>
    <w:p>
      <w:pPr>
        <w:spacing w:after="40"/>
        <w:ind w:left="227" w:hanging="142"/>
      </w:pPr>
      <w:r>
        <w:rPr>
          <w:rFonts w:ascii="Times New Roman" w:hAnsi="Times New Roman" w:eastAsia="Times New Roman"/>
          <w:sz w:val="20"/>
        </w:rPr>
        <w:t>1. Bên A vi phạm nghĩa vụ thanh toán, giao nhận, bàn giao mặt bằng, phối hợp nghiệm thu, xác nhận phát sinh hoặc nghĩa vụ khác phải chịu phạt 8% giá trị phần nghĩa vụ bị vi phạm hoặc phần công việc/hàng hóa bị ảnh hưởng trực tiếp.</w:t>
      </w:r>
    </w:p>
    <w:p>
      <w:pPr>
        <w:spacing w:after="40"/>
        <w:ind w:left="227" w:hanging="142"/>
      </w:pPr>
      <w:r>
        <w:rPr>
          <w:rFonts w:ascii="Times New Roman" w:hAnsi="Times New Roman" w:eastAsia="Times New Roman"/>
          <w:sz w:val="20"/>
        </w:rPr>
        <w:t>2. Bên B vi phạm nghĩa vụ do lỗi trực tiếp của Bên B phải chịu phạt 5% giá trị phần nghĩa vụ bị vi phạm hoặc phần công việc/hàng hóa bị ảnh hưởng trực tiếp.</w:t>
      </w:r>
    </w:p>
    <w:p>
      <w:pPr>
        <w:spacing w:after="40"/>
        <w:ind w:left="227" w:hanging="142"/>
      </w:pPr>
      <w:r>
        <w:rPr>
          <w:rFonts w:ascii="Times New Roman" w:hAnsi="Times New Roman" w:eastAsia="Times New Roman"/>
          <w:sz w:val="20"/>
        </w:rPr>
        <w:t>3. Các mức phạt trên được áp dụng trong phạm vi pháp luật cho phép; nếu mức tối đa bắt buộc thấp hơn thì tự động điều chỉnh về mức tối đa được phép.</w:t>
      </w:r>
    </w:p>
    <w:p>
      <w:pPr>
        <w:spacing w:after="40"/>
        <w:ind w:left="227" w:hanging="142"/>
      </w:pPr>
      <w:r>
        <w:rPr>
          <w:rFonts w:ascii="Times New Roman" w:hAnsi="Times New Roman" w:eastAsia="Times New Roman"/>
          <w:sz w:val="20"/>
        </w:rPr>
        <w:t>4. Phạt vi phạm không loại trừ nghĩa vụ bồi thường thiệt hại thực tế, trực tiếp, hợp lý. Bên yêu cầu bồi thường có nghĩa vụ chứng minh thiệt hại, mức thiệt hại và quan hệ nhân quả.</w:t>
      </w:r>
    </w:p>
    <w:p>
      <w:pPr>
        <w:spacing w:before="20" w:after="80"/>
        <w:ind w:left="198"/>
      </w:pPr>
      <w:r>
        <w:rPr>
          <w:rFonts w:ascii="Times New Roman" w:hAnsi="Times New Roman" w:eastAsia="Times New Roman"/>
          <w:i/>
          <w:color w:val="464646"/>
          <w:sz w:val="17"/>
        </w:rPr>
        <w:t>Cơ sở pháp lý tham chiếu nội bộ: Luật Thương mại 2005: Điều 300, 301, 302, 303, 307; Bộ luật Dân sự 2015: Điều 418, 419.</w:t>
      </w:r>
    </w:p>
    <w:p>
      <w:pPr>
        <w:spacing w:after="40" w:line="252" w:lineRule="auto"/>
      </w:pPr>
      <w:r>
        <w:rPr>
          <w:rFonts w:ascii="Times New Roman" w:hAnsi="Times New Roman" w:eastAsia="Times New Roman"/>
          <w:b/>
          <w:i w:val="0"/>
          <w:sz w:val="21"/>
        </w:rPr>
        <w:t>Điều 7. An toàn, bảo mật, điện tử, thuế và tuân thủ</w:t>
      </w:r>
    </w:p>
    <w:p>
      <w:pPr>
        <w:spacing w:after="40"/>
        <w:ind w:left="227" w:hanging="142"/>
      </w:pPr>
      <w:r>
        <w:rPr>
          <w:rFonts w:ascii="Times New Roman" w:hAnsi="Times New Roman" w:eastAsia="Times New Roman"/>
          <w:sz w:val="20"/>
        </w:rPr>
        <w:t>1. Các bên phối hợp bảo đảm an toàn lao động, an toàn điện, phòng cháy chữa cháy, vệ sinh công nghiệp và bảo vệ tài sản tại khu vực thực hiện.</w:t>
      </w:r>
    </w:p>
    <w:p>
      <w:pPr>
        <w:spacing w:after="40"/>
        <w:ind w:left="227" w:hanging="142"/>
      </w:pPr>
      <w:r>
        <w:rPr>
          <w:rFonts w:ascii="Times New Roman" w:hAnsi="Times New Roman" w:eastAsia="Times New Roman"/>
          <w:sz w:val="20"/>
        </w:rPr>
        <w:t>2. Thuế VAT, hóa đơn, chứng từ điện tử và nghĩa vụ tài chính thực hiện theo quy định pháp luật hiện hành. Bên A chịu trách nhiệm về thông tin xuất hóa đơn và chịu chi phí điều chỉnh do thông tin sai từ Bên A.</w:t>
      </w:r>
    </w:p>
    <w:p>
      <w:pPr>
        <w:spacing w:after="40"/>
        <w:ind w:left="227" w:hanging="142"/>
      </w:pPr>
      <w:r>
        <w:rPr>
          <w:rFonts w:ascii="Times New Roman" w:hAnsi="Times New Roman" w:eastAsia="Times New Roman"/>
          <w:sz w:val="20"/>
        </w:rPr>
        <w:t>3. Các bên bảo mật thông tin giá, hồ sơ, khách hàng, dữ liệu kỹ thuật trong 24 tháng sau khi hợp đồng chấm dứt; vi phạm bảo mật phải chấm dứt hành vi, bồi thường thiệt hại thực tế và chịu phạt 8% giá trị giao dịch/hợp đồng liên quan trong phạm vi pháp luật cho phép.</w:t>
      </w:r>
    </w:p>
    <w:p>
      <w:pPr>
        <w:spacing w:after="40"/>
        <w:ind w:left="227" w:hanging="142"/>
      </w:pPr>
      <w:r>
        <w:rPr>
          <w:rFonts w:ascii="Times New Roman" w:hAnsi="Times New Roman" w:eastAsia="Times New Roman"/>
          <w:sz w:val="20"/>
        </w:rPr>
        <w:t>4. Trao đổi qua email/tin nhắn/hệ thống quản lý được xem là căn cứ tham chiếu nếu xác định được người gửi, thời điểm, nội dung và được lưu trữ tối thiểu 03 năm sau khi hợp đồng chấm dứt.</w:t>
      </w:r>
    </w:p>
    <w:p>
      <w:pPr>
        <w:spacing w:after="40"/>
        <w:ind w:left="227" w:hanging="142"/>
      </w:pPr>
      <w:r>
        <w:rPr>
          <w:rFonts w:ascii="Times New Roman" w:hAnsi="Times New Roman" w:eastAsia="Times New Roman"/>
          <w:sz w:val="20"/>
        </w:rPr>
        <w:t>5. Hai bên cam kết tuân thủ pháp luật, không hối lộ, thông đồng, gian lận, cạnh tranh không lành mạnh hoặc lợi dụng hợp đồng để thực hiện giao dịch trái pháp luật.</w:t>
      </w:r>
    </w:p>
    <w:p>
      <w:pPr>
        <w:spacing w:before="20" w:after="80"/>
        <w:ind w:left="198"/>
      </w:pPr>
      <w:r>
        <w:rPr>
          <w:rFonts w:ascii="Times New Roman" w:hAnsi="Times New Roman" w:eastAsia="Times New Roman"/>
          <w:i/>
          <w:color w:val="464646"/>
          <w:sz w:val="17"/>
        </w:rPr>
        <w:t>Cơ sở pháp lý tham chiếu nội bộ: Luật Giao dịch điện tử 2023: Điều 8, 11, 23; Bộ luật Tố tụng dân sự 2015: Điều 93; quy định thuế/hóa đơn, an toàn/PCCC, bảo mật dữ liệu hiện hành.</w:t>
      </w:r>
    </w:p>
    <w:p>
      <w:pPr>
        <w:spacing w:after="40" w:line="252" w:lineRule="auto"/>
      </w:pPr>
      <w:r>
        <w:rPr>
          <w:rFonts w:ascii="Times New Roman" w:hAnsi="Times New Roman" w:eastAsia="Times New Roman"/>
          <w:b/>
          <w:i w:val="0"/>
          <w:sz w:val="21"/>
        </w:rPr>
        <w:t>Điều 8. Bất khả kháng, tạm ngừng, chấm dứt và tranh chấp</w:t>
      </w:r>
    </w:p>
    <w:p>
      <w:pPr>
        <w:spacing w:after="40"/>
        <w:ind w:left="227" w:hanging="142"/>
      </w:pPr>
      <w:r>
        <w:rPr>
          <w:rFonts w:ascii="Times New Roman" w:hAnsi="Times New Roman" w:eastAsia="Times New Roman"/>
          <w:sz w:val="20"/>
        </w:rPr>
        <w:t>1. Sự kiện bất khả kháng là sự kiện khách quan, không thể lường trước và không thể khắc phục dù đã áp dụng biện pháp cần thiết. Bên bị ảnh hưởng phải thông báo sớm, cung cấp căn cứ hợp lý và giảm thiểu thiệt hại.</w:t>
      </w:r>
    </w:p>
    <w:p>
      <w:pPr>
        <w:spacing w:after="40"/>
        <w:ind w:left="227" w:hanging="142"/>
      </w:pPr>
      <w:r>
        <w:rPr>
          <w:rFonts w:ascii="Times New Roman" w:hAnsi="Times New Roman" w:eastAsia="Times New Roman"/>
          <w:sz w:val="20"/>
        </w:rPr>
        <w:t>2. Hợp đồng chấm dứt khi hai bên hoàn thành nghĩa vụ, hết thời hạn, thỏa thuận chấm dứt, một bên vi phạm nghiêm trọng và không khắc phục trong vòng 15 ngày làm việc sau thông báo, hoặc theo quy định pháp luật.</w:t>
      </w:r>
    </w:p>
    <w:p>
      <w:pPr>
        <w:spacing w:after="40"/>
        <w:ind w:left="227" w:hanging="142"/>
      </w:pPr>
      <w:r>
        <w:rPr>
          <w:rFonts w:ascii="Times New Roman" w:hAnsi="Times New Roman" w:eastAsia="Times New Roman"/>
          <w:sz w:val="20"/>
        </w:rPr>
        <w:t>3. Vi phạm nghiêm trọng gồm chậm thanh toán quá 30 ngày sau thông báo, không cho Bên B tiếp cận hiện trường/hệ thống, vi phạm bảo mật, giao hàng/công việc sai nghiêm trọng không khắc phục hoặc hành vi làm cho bên kia không đạt được mục đích giao kết.</w:t>
      </w:r>
    </w:p>
    <w:p>
      <w:pPr>
        <w:spacing w:after="40"/>
        <w:ind w:left="227" w:hanging="142"/>
      </w:pPr>
      <w:r>
        <w:rPr>
          <w:rFonts w:ascii="Times New Roman" w:hAnsi="Times New Roman" w:eastAsia="Times New Roman"/>
          <w:sz w:val="20"/>
        </w:rPr>
        <w:t>4. Chấm dứt không làm mất nghĩa vụ thanh toán, bồi thường, bảo hành, bảo mật, phạt vi phạm và các nghĩa vụ tồn tại trước đó.</w:t>
      </w:r>
    </w:p>
    <w:p>
      <w:pPr>
        <w:spacing w:after="40"/>
        <w:ind w:left="227" w:hanging="142"/>
      </w:pPr>
      <w:r>
        <w:rPr>
          <w:rFonts w:ascii="Times New Roman" w:hAnsi="Times New Roman" w:eastAsia="Times New Roman"/>
          <w:sz w:val="20"/>
        </w:rPr>
        <w:t>5. Tranh chấp ưu tiên thương lượng/hòa giải trong 30 ngày; nếu không giải quyết được thì đưa ra Tòa án có thẩm quyền theo quy định pháp luật. Hợp đồng lập thành 02 bản, mỗi bên giữ 01 bản.</w:t>
      </w:r>
    </w:p>
    <w:p>
      <w:pPr>
        <w:spacing w:before="20" w:after="80"/>
        <w:ind w:left="198"/>
      </w:pPr>
      <w:r>
        <w:rPr>
          <w:rFonts w:ascii="Times New Roman" w:hAnsi="Times New Roman" w:eastAsia="Times New Roman"/>
          <w:i/>
          <w:color w:val="464646"/>
          <w:sz w:val="17"/>
        </w:rPr>
        <w:t>Cơ sở pháp lý tham chiếu nội bộ: Bộ luật Dân sự 2015: Điều 351, 423, 424, 428; Luật Thương mại 2005: Điều 308-312; Bộ luật Tố tụng dân sự 2015 về giải quyết tranh chấp.</w:t>
      </w:r>
    </w:p>
    <w:tbl>
      <w:tblPr>
        <w:tblStyle w:val="TableGrid"/>
        <w:tblW w:type="auto" w:w="0"/>
        <w:jc w:val="center"/>
        <w:tblLook w:firstColumn="1" w:firstRow="1" w:lastColumn="0" w:lastRow="0" w:noHBand="0" w:noVBand="1" w:val="04A0"/>
      </w:tblPr>
      <w:tblGrid>
        <w:gridCol w:w="5270"/>
        <w:gridCol w:w="5270"/>
      </w:tblGrid>
      <w:tr>
        <w:tc>
          <w:tcPr>
            <w:tcW w:type="dxa" w:w="5270"/>
            <w:vAlign w:val="center"/>
          </w:tcPr>
          <w:p>
            <w:pPr>
              <w:jc w:val="center"/>
            </w:pPr>
            <w:r/>
            <w:r>
              <w:rPr>
                <w:rFonts w:ascii="Times New Roman" w:hAnsi="Times New Roman" w:eastAsia="Times New Roman"/>
                <w:b/>
                <w:sz w:val="20"/>
              </w:rPr>
              <w:t>ĐẠI DIỆN BÊN A</w:t>
              <w:br/>
              <w:t>(Ký, ghi rõ họ tên, chức vụ, đóng dấu)</w:t>
            </w:r>
          </w:p>
        </w:tc>
        <w:tc>
          <w:tcPr>
            <w:tcW w:type="dxa" w:w="5270"/>
            <w:vAlign w:val="center"/>
          </w:tcPr>
          <w:p>
            <w:pPr>
              <w:jc w:val="center"/>
            </w:pPr>
            <w:r/>
            <w:r>
              <w:rPr>
                <w:rFonts w:ascii="Times New Roman" w:hAnsi="Times New Roman" w:eastAsia="Times New Roman"/>
                <w:b/>
                <w:sz w:val="20"/>
              </w:rPr>
              <w:t>ĐẠI DIỆN BÊN B</w:t>
              <w:br/>
              <w:t>(Ký, ghi rõ họ tên, chức vụ, đóng dấu)</w:t>
            </w:r>
          </w:p>
        </w:tc>
      </w:tr>
      <w:tr>
        <w:tc>
          <w:tcPr>
            <w:tcW w:type="dxa" w:w="5270"/>
            <w:vAlign w:val="center"/>
          </w:tcPr>
          <w:p>
            <w:pPr>
              <w:jc w:val="center"/>
            </w:pPr>
            <w:r/>
            <w:r>
              <w:rPr>
                <w:rFonts w:ascii="Times New Roman" w:hAnsi="Times New Roman" w:eastAsia="Times New Roman"/>
                <w:b w:val="0"/>
                <w:sz w:val="20"/>
              </w:rPr>
              <w:br/>
              <w:br/>
              <w:br/>
              <w:br/>
              <w:t>{{ben_a_nguoi_ky}}</w:t>
            </w:r>
          </w:p>
        </w:tc>
        <w:tc>
          <w:tcPr>
            <w:tcW w:type="dxa" w:w="5270"/>
            <w:vAlign w:val="center"/>
          </w:tcPr>
          <w:p>
            <w:pPr>
              <w:jc w:val="center"/>
            </w:pPr>
            <w:r/>
            <w:r>
              <w:rPr>
                <w:rFonts w:ascii="Times New Roman" w:hAnsi="Times New Roman" w:eastAsia="Times New Roman"/>
                <w:b w:val="0"/>
                <w:sz w:val="20"/>
              </w:rPr>
              <w:br/>
              <w:br/>
              <w:br/>
              <w:br/>
              <w:t>{{ben_b_nguoi_ky}}</w:t>
            </w:r>
          </w:p>
        </w:tc>
      </w:tr>
    </w:tbl>
    <w:p>
      <w:r>
        <w:br w:type="page"/>
      </w:r>
    </w:p>
    <w:p>
      <w:pPr>
        <w:spacing w:after="40" w:line="252" w:lineRule="auto"/>
        <w:jc w:val="center"/>
      </w:pPr>
      <w:r>
        <w:rPr>
          <w:rFonts w:ascii="Times New Roman" w:hAnsi="Times New Roman" w:eastAsia="Times New Roman"/>
          <w:b/>
          <w:i w:val="0"/>
          <w:sz w:val="24"/>
        </w:rPr>
        <w:t>Phụ lục - Bảng căn cứ pháp lý tham chiếu nội bộ</w:t>
      </w:r>
    </w:p>
    <w:p>
      <w:pPr>
        <w:spacing w:after="40" w:line="252" w:lineRule="auto"/>
      </w:pPr>
      <w:r>
        <w:rPr>
          <w:rFonts w:ascii="Times New Roman" w:hAnsi="Times New Roman" w:eastAsia="Times New Roman"/>
          <w:b w:val="0"/>
          <w:i/>
          <w:sz w:val="18"/>
        </w:rPr>
        <w:t>Bảng này dùng để LEXcentra/kế toán/luật sư rà soát nội bộ. Khi ký hợp đồng thực tế, cần kiểm tra phiên bản pháp luật còn hiệu lực và điều chỉnh theo từng giao dịch.</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shd w:fill="D9EAF7"/>
          </w:tcPr>
          <w:p>
            <w:pPr>
              <w:jc w:val="center"/>
            </w:pPr>
            <w:r/>
            <w:r>
              <w:rPr>
                <w:rFonts w:ascii="Times New Roman" w:hAnsi="Times New Roman" w:eastAsia="Times New Roman"/>
                <w:b/>
                <w:sz w:val="17"/>
              </w:rPr>
              <w:t>Nhóm điều khoản</w:t>
            </w:r>
          </w:p>
        </w:tc>
        <w:tc>
          <w:tcPr>
            <w:tcW w:type="dxa" w:w="3513"/>
            <w:vAlign w:val="center"/>
            <w:shd w:fill="D9EAF7"/>
          </w:tcPr>
          <w:p>
            <w:pPr>
              <w:jc w:val="center"/>
            </w:pPr>
            <w:r/>
            <w:r>
              <w:rPr>
                <w:rFonts w:ascii="Times New Roman" w:hAnsi="Times New Roman" w:eastAsia="Times New Roman"/>
                <w:b/>
                <w:sz w:val="17"/>
              </w:rPr>
              <w:t>Căn cứ pháp lý tham chiếu</w:t>
            </w:r>
          </w:p>
        </w:tc>
        <w:tc>
          <w:tcPr>
            <w:tcW w:type="dxa" w:w="3513"/>
            <w:vAlign w:val="center"/>
            <w:shd w:fill="D9EAF7"/>
          </w:tcPr>
          <w:p>
            <w:pPr>
              <w:jc w:val="center"/>
            </w:pPr>
            <w:r/>
            <w:r>
              <w:rPr>
                <w:rFonts w:ascii="Times New Roman" w:hAnsi="Times New Roman" w:eastAsia="Times New Roman"/>
                <w:b/>
                <w:sz w:val="17"/>
              </w:rPr>
              <w:t>Mục đích kiểm soát</w:t>
            </w:r>
          </w:p>
        </w:tc>
      </w:tr>
      <w:tr>
        <w:tc>
          <w:tcPr>
            <w:tcW w:type="dxa" w:w="3513"/>
            <w:vAlign w:val="center"/>
          </w:tcPr>
          <w:p>
            <w:pPr>
              <w:jc w:val="left"/>
            </w:pPr>
            <w:r/>
            <w:r>
              <w:rPr>
                <w:rFonts w:ascii="Times New Roman" w:hAnsi="Times New Roman" w:eastAsia="Times New Roman"/>
                <w:b w:val="0"/>
                <w:sz w:val="15"/>
              </w:rPr>
              <w:t>Giao kết, hiệu lực và giải thích hợp đồng</w:t>
            </w:r>
          </w:p>
        </w:tc>
        <w:tc>
          <w:tcPr>
            <w:tcW w:type="dxa" w:w="3513"/>
            <w:vAlign w:val="center"/>
          </w:tcPr>
          <w:p>
            <w:pPr>
              <w:jc w:val="left"/>
            </w:pPr>
            <w:r/>
            <w:r>
              <w:rPr>
                <w:rFonts w:ascii="Times New Roman" w:hAnsi="Times New Roman" w:eastAsia="Times New Roman"/>
                <w:b w:val="0"/>
                <w:sz w:val="15"/>
              </w:rPr>
              <w:t>Bộ luật Dân sự 2015: Điều 385, 398, 400, 401, 403, 404, 405, 406; Luật Thương mại 2005 về giao kết/thực hiện hợp đồng thương mại.</w:t>
            </w:r>
          </w:p>
        </w:tc>
        <w:tc>
          <w:tcPr>
            <w:tcW w:type="dxa" w:w="3513"/>
            <w:vAlign w:val="center"/>
          </w:tcPr>
          <w:p>
            <w:pPr>
              <w:jc w:val="left"/>
            </w:pPr>
            <w:r/>
            <w:r>
              <w:rPr>
                <w:rFonts w:ascii="Times New Roman" w:hAnsi="Times New Roman" w:eastAsia="Times New Roman"/>
                <w:b w:val="0"/>
                <w:sz w:val="15"/>
              </w:rPr>
              <w:t>Xác định tài liệu có hiệu lực, thứ tự ưu tiên và nguyên tắc giải thích.</w:t>
            </w:r>
          </w:p>
        </w:tc>
      </w:tr>
      <w:tr>
        <w:tc>
          <w:tcPr>
            <w:tcW w:type="dxa" w:w="3513"/>
            <w:vAlign w:val="center"/>
          </w:tcPr>
          <w:p>
            <w:pPr>
              <w:jc w:val="left"/>
            </w:pPr>
            <w:r/>
            <w:r>
              <w:rPr>
                <w:rFonts w:ascii="Times New Roman" w:hAnsi="Times New Roman" w:eastAsia="Times New Roman"/>
                <w:b w:val="0"/>
                <w:sz w:val="15"/>
              </w:rPr>
              <w:t>Phạt vi phạm</w:t>
            </w:r>
          </w:p>
        </w:tc>
        <w:tc>
          <w:tcPr>
            <w:tcW w:type="dxa" w:w="3513"/>
            <w:vAlign w:val="center"/>
          </w:tcPr>
          <w:p>
            <w:pPr>
              <w:jc w:val="left"/>
            </w:pPr>
            <w:r/>
            <w:r>
              <w:rPr>
                <w:rFonts w:ascii="Times New Roman" w:hAnsi="Times New Roman" w:eastAsia="Times New Roman"/>
                <w:b w:val="0"/>
                <w:sz w:val="15"/>
              </w:rPr>
              <w:t>Luật Thương mại 2005: Điều 300, 301; Bộ luật Dân sự 2015: Điều 418. Ghi rõ mức phạt trong hợp đồng để tránh tranh chấp về căn cứ áp dụng.</w:t>
            </w:r>
          </w:p>
        </w:tc>
        <w:tc>
          <w:tcPr>
            <w:tcW w:type="dxa" w:w="3513"/>
            <w:vAlign w:val="center"/>
          </w:tcPr>
          <w:p>
            <w:pPr>
              <w:jc w:val="left"/>
            </w:pPr>
            <w:r/>
            <w:r>
              <w:rPr>
                <w:rFonts w:ascii="Times New Roman" w:hAnsi="Times New Roman" w:eastAsia="Times New Roman"/>
                <w:b w:val="0"/>
                <w:sz w:val="15"/>
              </w:rPr>
              <w:t>Bảo đảm điều khoản phạt có mức phạt rõ ràng, tránh mất quyền yêu cầu phạt.</w:t>
            </w:r>
          </w:p>
        </w:tc>
      </w:tr>
      <w:tr>
        <w:tc>
          <w:tcPr>
            <w:tcW w:type="dxa" w:w="3513"/>
            <w:vAlign w:val="center"/>
          </w:tcPr>
          <w:p>
            <w:pPr>
              <w:jc w:val="left"/>
            </w:pPr>
            <w:r/>
            <w:r>
              <w:rPr>
                <w:rFonts w:ascii="Times New Roman" w:hAnsi="Times New Roman" w:eastAsia="Times New Roman"/>
                <w:b w:val="0"/>
                <w:sz w:val="15"/>
              </w:rPr>
              <w:t>Bồi thường thiệt hại</w:t>
            </w:r>
          </w:p>
        </w:tc>
        <w:tc>
          <w:tcPr>
            <w:tcW w:type="dxa" w:w="3513"/>
            <w:vAlign w:val="center"/>
          </w:tcPr>
          <w:p>
            <w:pPr>
              <w:jc w:val="left"/>
            </w:pPr>
            <w:r/>
            <w:r>
              <w:rPr>
                <w:rFonts w:ascii="Times New Roman" w:hAnsi="Times New Roman" w:eastAsia="Times New Roman"/>
                <w:b w:val="0"/>
                <w:sz w:val="15"/>
              </w:rPr>
              <w:t>Luật Thương mại 2005: Điều 302, 303, 304, 305, 307; Bộ luật Dân sự 2015: Điều 13, 360, 361, 419. Bên yêu cầu bồi thường phải chứng minh thiệt hại và quan hệ nhân quả.</w:t>
            </w:r>
          </w:p>
        </w:tc>
        <w:tc>
          <w:tcPr>
            <w:tcW w:type="dxa" w:w="3513"/>
            <w:vAlign w:val="center"/>
          </w:tcPr>
          <w:p>
            <w:pPr>
              <w:jc w:val="left"/>
            </w:pPr>
            <w:r/>
            <w:r>
              <w:rPr>
                <w:rFonts w:ascii="Times New Roman" w:hAnsi="Times New Roman" w:eastAsia="Times New Roman"/>
                <w:b w:val="0"/>
                <w:sz w:val="15"/>
              </w:rPr>
              <w:t>Giữ quyền yêu cầu bồi thường thiệt hại thực tế, trực tiếp, hợp lý.</w:t>
            </w:r>
          </w:p>
        </w:tc>
      </w:tr>
      <w:tr>
        <w:tc>
          <w:tcPr>
            <w:tcW w:type="dxa" w:w="3513"/>
            <w:vAlign w:val="center"/>
          </w:tcPr>
          <w:p>
            <w:pPr>
              <w:jc w:val="left"/>
            </w:pPr>
            <w:r/>
            <w:r>
              <w:rPr>
                <w:rFonts w:ascii="Times New Roman" w:hAnsi="Times New Roman" w:eastAsia="Times New Roman"/>
                <w:b w:val="0"/>
                <w:sz w:val="15"/>
              </w:rPr>
              <w:t>Lãi chậm thanh toán</w:t>
            </w:r>
          </w:p>
        </w:tc>
        <w:tc>
          <w:tcPr>
            <w:tcW w:type="dxa" w:w="3513"/>
            <w:vAlign w:val="center"/>
          </w:tcPr>
          <w:p>
            <w:pPr>
              <w:jc w:val="left"/>
            </w:pPr>
            <w:r/>
            <w:r>
              <w:rPr>
                <w:rFonts w:ascii="Times New Roman" w:hAnsi="Times New Roman" w:eastAsia="Times New Roman"/>
                <w:b w:val="0"/>
                <w:sz w:val="15"/>
              </w:rPr>
              <w:t>Luật Thương mại 2005: Điều 306; Bộ luật Dân sự 2015: Điều 357, 468; Nghị quyết 01/2019/NQ-HĐTP: Điều 11. Nên ghi rõ mức lãi hoặc công thức xác định.</w:t>
            </w:r>
          </w:p>
        </w:tc>
        <w:tc>
          <w:tcPr>
            <w:tcW w:type="dxa" w:w="3513"/>
            <w:vAlign w:val="center"/>
          </w:tcPr>
          <w:p>
            <w:pPr>
              <w:jc w:val="left"/>
            </w:pPr>
            <w:r/>
            <w:r>
              <w:rPr>
                <w:rFonts w:ascii="Times New Roman" w:hAnsi="Times New Roman" w:eastAsia="Times New Roman"/>
                <w:b w:val="0"/>
                <w:sz w:val="15"/>
              </w:rPr>
              <w:t>Giúp Bên B có căn cứ đòi lãi cụ thể khi Bên A chậm thanh toán.</w:t>
            </w:r>
          </w:p>
        </w:tc>
      </w:tr>
      <w:tr>
        <w:tc>
          <w:tcPr>
            <w:tcW w:type="dxa" w:w="3513"/>
            <w:vAlign w:val="center"/>
          </w:tcPr>
          <w:p>
            <w:pPr>
              <w:jc w:val="left"/>
            </w:pPr>
            <w:r/>
            <w:r>
              <w:rPr>
                <w:rFonts w:ascii="Times New Roman" w:hAnsi="Times New Roman" w:eastAsia="Times New Roman"/>
                <w:b w:val="0"/>
                <w:sz w:val="15"/>
              </w:rPr>
              <w:t>Tạm ngừng/đình chỉ/chấm dứt</w:t>
            </w:r>
          </w:p>
        </w:tc>
        <w:tc>
          <w:tcPr>
            <w:tcW w:type="dxa" w:w="3513"/>
            <w:vAlign w:val="center"/>
          </w:tcPr>
          <w:p>
            <w:pPr>
              <w:jc w:val="left"/>
            </w:pPr>
            <w:r/>
            <w:r>
              <w:rPr>
                <w:rFonts w:ascii="Times New Roman" w:hAnsi="Times New Roman" w:eastAsia="Times New Roman"/>
                <w:b w:val="0"/>
                <w:sz w:val="15"/>
              </w:rPr>
              <w:t>Luật Thương mại 2005: Điều 308, 309, 310, 311, 312; Bộ luật Dân sự 2015: Điều 411, 423, 424, 428. Cần có điều kiện kích hoạt, thông báo và thời hạn khắc phục.</w:t>
            </w:r>
          </w:p>
        </w:tc>
        <w:tc>
          <w:tcPr>
            <w:tcW w:type="dxa" w:w="3513"/>
            <w:vAlign w:val="center"/>
          </w:tcPr>
          <w:p>
            <w:pPr>
              <w:jc w:val="left"/>
            </w:pPr>
            <w:r/>
            <w:r>
              <w:rPr>
                <w:rFonts w:ascii="Times New Roman" w:hAnsi="Times New Roman" w:eastAsia="Times New Roman"/>
                <w:b w:val="0"/>
                <w:sz w:val="15"/>
              </w:rPr>
              <w:t>Tránh rủi ro Bên B bị xem là vi phạm khi tạm ngừng đúng điều kiện.</w:t>
            </w:r>
          </w:p>
        </w:tc>
      </w:tr>
      <w:tr>
        <w:tc>
          <w:tcPr>
            <w:tcW w:type="dxa" w:w="3513"/>
            <w:vAlign w:val="center"/>
          </w:tcPr>
          <w:p>
            <w:pPr>
              <w:jc w:val="left"/>
            </w:pPr>
            <w:r/>
            <w:r>
              <w:rPr>
                <w:rFonts w:ascii="Times New Roman" w:hAnsi="Times New Roman" w:eastAsia="Times New Roman"/>
                <w:b w:val="0"/>
                <w:sz w:val="15"/>
              </w:rPr>
              <w:t>Giao nhận, kiểm tra, nghiệm thu mặc nhiên</w:t>
            </w:r>
          </w:p>
        </w:tc>
        <w:tc>
          <w:tcPr>
            <w:tcW w:type="dxa" w:w="3513"/>
            <w:vAlign w:val="center"/>
          </w:tcPr>
          <w:p>
            <w:pPr>
              <w:jc w:val="left"/>
            </w:pPr>
            <w:r/>
            <w:r>
              <w:rPr>
                <w:rFonts w:ascii="Times New Roman" w:hAnsi="Times New Roman" w:eastAsia="Times New Roman"/>
                <w:b w:val="0"/>
                <w:sz w:val="15"/>
              </w:rPr>
              <w:t>Bộ luật Dân sự 2015: Điều 394, 400 và nguyên tắc tự do thỏa thuận; Luật Thương mại 2005 về giao hàng, kiểm tra hàng hóa và nghĩa vụ thông báo khi phát hiện sai sót.</w:t>
            </w:r>
          </w:p>
        </w:tc>
        <w:tc>
          <w:tcPr>
            <w:tcW w:type="dxa" w:w="3513"/>
            <w:vAlign w:val="center"/>
          </w:tcPr>
          <w:p>
            <w:pPr>
              <w:jc w:val="left"/>
            </w:pPr>
            <w:r/>
            <w:r>
              <w:rPr>
                <w:rFonts w:ascii="Times New Roman" w:hAnsi="Times New Roman" w:eastAsia="Times New Roman"/>
                <w:b w:val="0"/>
                <w:sz w:val="15"/>
              </w:rPr>
              <w:t>Tạo cơ chế xác nhận khối lượng và hạn chế trì hoãn nghiệm thu.</w:t>
            </w:r>
          </w:p>
        </w:tc>
      </w:tr>
      <w:tr>
        <w:tc>
          <w:tcPr>
            <w:tcW w:type="dxa" w:w="3513"/>
            <w:vAlign w:val="center"/>
          </w:tcPr>
          <w:p>
            <w:pPr>
              <w:jc w:val="left"/>
            </w:pPr>
            <w:r/>
            <w:r>
              <w:rPr>
                <w:rFonts w:ascii="Times New Roman" w:hAnsi="Times New Roman" w:eastAsia="Times New Roman"/>
                <w:b w:val="0"/>
                <w:sz w:val="15"/>
              </w:rPr>
              <w:t>Mua bán hàng hóa, bảo hành hàng hóa</w:t>
            </w:r>
          </w:p>
        </w:tc>
        <w:tc>
          <w:tcPr>
            <w:tcW w:type="dxa" w:w="3513"/>
            <w:vAlign w:val="center"/>
          </w:tcPr>
          <w:p>
            <w:pPr>
              <w:jc w:val="left"/>
            </w:pPr>
            <w:r/>
            <w:r>
              <w:rPr>
                <w:rFonts w:ascii="Times New Roman" w:hAnsi="Times New Roman" w:eastAsia="Times New Roman"/>
                <w:b w:val="0"/>
                <w:sz w:val="15"/>
              </w:rPr>
              <w:t>Luật Thương mại 2005: Điều 44, 49 và các quy định liên quan đến kiểm tra, khiếu nại, bảo hành; Bộ luật Dân sự 2015 về mua bán tài sản/hàng hóa.</w:t>
            </w:r>
          </w:p>
        </w:tc>
        <w:tc>
          <w:tcPr>
            <w:tcW w:type="dxa" w:w="3513"/>
            <w:vAlign w:val="center"/>
          </w:tcPr>
          <w:p>
            <w:pPr>
              <w:jc w:val="left"/>
            </w:pPr>
            <w:r/>
            <w:r>
              <w:rPr>
                <w:rFonts w:ascii="Times New Roman" w:hAnsi="Times New Roman" w:eastAsia="Times New Roman"/>
                <w:b w:val="0"/>
                <w:sz w:val="15"/>
              </w:rPr>
              <w:t>Làm rõ kiểm tra hàng, từ chối nhận hàng, bảo hành và chuyển giao rủi ro.</w:t>
            </w:r>
          </w:p>
        </w:tc>
      </w:tr>
      <w:tr>
        <w:tc>
          <w:tcPr>
            <w:tcW w:type="dxa" w:w="3513"/>
            <w:vAlign w:val="center"/>
          </w:tcPr>
          <w:p>
            <w:pPr>
              <w:jc w:val="left"/>
            </w:pPr>
            <w:r/>
            <w:r>
              <w:rPr>
                <w:rFonts w:ascii="Times New Roman" w:hAnsi="Times New Roman" w:eastAsia="Times New Roman"/>
                <w:b w:val="0"/>
                <w:sz w:val="15"/>
              </w:rPr>
              <w:t>Trao đổi điện tử và chứng cứ</w:t>
            </w:r>
          </w:p>
        </w:tc>
        <w:tc>
          <w:tcPr>
            <w:tcW w:type="dxa" w:w="3513"/>
            <w:vAlign w:val="center"/>
          </w:tcPr>
          <w:p>
            <w:pPr>
              <w:jc w:val="left"/>
            </w:pPr>
            <w:r/>
            <w:r>
              <w:rPr>
                <w:rFonts w:ascii="Times New Roman" w:hAnsi="Times New Roman" w:eastAsia="Times New Roman"/>
                <w:b w:val="0"/>
                <w:sz w:val="15"/>
              </w:rPr>
              <w:t>Luật Giao dịch điện tử 2023: Điều 8, 11, 23; Bộ luật Tố tụng dân sự 2015: Điều 93. Cần lưu log, email, ảnh chụp, metadata để tăng giá trị chứng minh.</w:t>
            </w:r>
          </w:p>
        </w:tc>
        <w:tc>
          <w:tcPr>
            <w:tcW w:type="dxa" w:w="3513"/>
            <w:vAlign w:val="center"/>
          </w:tcPr>
          <w:p>
            <w:pPr>
              <w:jc w:val="left"/>
            </w:pPr>
            <w:r/>
            <w:r>
              <w:rPr>
                <w:rFonts w:ascii="Times New Roman" w:hAnsi="Times New Roman" w:eastAsia="Times New Roman"/>
                <w:b w:val="0"/>
                <w:sz w:val="15"/>
              </w:rPr>
              <w:t>Tăng giá trị chứng cứ của email, log, tin nhắn, hệ thống quản lý.</w:t>
            </w:r>
          </w:p>
        </w:tc>
      </w:tr>
      <w:tr>
        <w:tc>
          <w:tcPr>
            <w:tcW w:type="dxa" w:w="3513"/>
            <w:vAlign w:val="center"/>
          </w:tcPr>
          <w:p>
            <w:pPr>
              <w:jc w:val="left"/>
            </w:pPr>
            <w:r/>
            <w:r>
              <w:rPr>
                <w:rFonts w:ascii="Times New Roman" w:hAnsi="Times New Roman" w:eastAsia="Times New Roman"/>
                <w:b w:val="0"/>
                <w:sz w:val="15"/>
              </w:rPr>
              <w:t>Bảo mật thông tin</w:t>
            </w:r>
          </w:p>
        </w:tc>
        <w:tc>
          <w:tcPr>
            <w:tcW w:type="dxa" w:w="3513"/>
            <w:vAlign w:val="center"/>
          </w:tcPr>
          <w:p>
            <w:pPr>
              <w:jc w:val="left"/>
            </w:pPr>
            <w:r/>
            <w:r>
              <w:rPr>
                <w:rFonts w:ascii="Times New Roman" w:hAnsi="Times New Roman" w:eastAsia="Times New Roman"/>
                <w:b w:val="0"/>
                <w:sz w:val="15"/>
              </w:rPr>
              <w:t>Bộ luật Dân sự 2015: nguyên tắc thiện chí, trung thực, tự do thỏa thuận và trách nhiệm bồi thường; Luật Thương mại 2005 về bảo mật thông tin trong hoạt động thương mại; các quy định bảo vệ dữ liệu/thông tin hiện hành.</w:t>
            </w:r>
          </w:p>
        </w:tc>
        <w:tc>
          <w:tcPr>
            <w:tcW w:type="dxa" w:w="3513"/>
            <w:vAlign w:val="center"/>
          </w:tcPr>
          <w:p>
            <w:pPr>
              <w:jc w:val="left"/>
            </w:pPr>
            <w:r/>
            <w:r>
              <w:rPr>
                <w:rFonts w:ascii="Times New Roman" w:hAnsi="Times New Roman" w:eastAsia="Times New Roman"/>
                <w:b w:val="0"/>
                <w:sz w:val="15"/>
              </w:rPr>
              <w:t>Bảo vệ giá, quy trình, khách hàng, dữ liệu hồ sơ và tài liệu kỹ thuật.</w:t>
            </w:r>
          </w:p>
        </w:tc>
      </w:tr>
      <w:tr>
        <w:tc>
          <w:tcPr>
            <w:tcW w:type="dxa" w:w="3513"/>
            <w:vAlign w:val="center"/>
          </w:tcPr>
          <w:p>
            <w:pPr>
              <w:jc w:val="left"/>
            </w:pPr>
            <w:r/>
            <w:r>
              <w:rPr>
                <w:rFonts w:ascii="Times New Roman" w:hAnsi="Times New Roman" w:eastAsia="Times New Roman"/>
                <w:b w:val="0"/>
                <w:sz w:val="15"/>
              </w:rPr>
              <w:t>Thuế, hóa đơn, chứng từ</w:t>
            </w:r>
          </w:p>
        </w:tc>
        <w:tc>
          <w:tcPr>
            <w:tcW w:type="dxa" w:w="3513"/>
            <w:vAlign w:val="center"/>
          </w:tcPr>
          <w:p>
            <w:pPr>
              <w:jc w:val="left"/>
            </w:pPr>
            <w:r/>
            <w:r>
              <w:rPr>
                <w:rFonts w:ascii="Times New Roman" w:hAnsi="Times New Roman" w:eastAsia="Times New Roman"/>
                <w:b w:val="0"/>
                <w:sz w:val="15"/>
              </w:rPr>
              <w:t>Luật Quản lý thuế, quy định về hóa đơn/chứng từ điện tử, VAT và các văn bản sửa đổi/bổ sung/thay thế có hiệu lực tại thời điểm phát sinh giao dịch.</w:t>
            </w:r>
          </w:p>
        </w:tc>
        <w:tc>
          <w:tcPr>
            <w:tcW w:type="dxa" w:w="3513"/>
            <w:vAlign w:val="center"/>
          </w:tcPr>
          <w:p>
            <w:pPr>
              <w:jc w:val="left"/>
            </w:pPr>
            <w:r/>
            <w:r>
              <w:rPr>
                <w:rFonts w:ascii="Times New Roman" w:hAnsi="Times New Roman" w:eastAsia="Times New Roman"/>
                <w:b w:val="0"/>
                <w:sz w:val="15"/>
              </w:rPr>
              <w:t>Quản trị VAT, hóa đơn, thông tin xuất hóa đơn và thay đổi chính sách.</w:t>
            </w:r>
          </w:p>
        </w:tc>
      </w:tr>
      <w:tr>
        <w:tc>
          <w:tcPr>
            <w:tcW w:type="dxa" w:w="3513"/>
            <w:vAlign w:val="center"/>
          </w:tcPr>
          <w:p>
            <w:pPr>
              <w:jc w:val="left"/>
            </w:pPr>
            <w:r/>
            <w:r>
              <w:rPr>
                <w:rFonts w:ascii="Times New Roman" w:hAnsi="Times New Roman" w:eastAsia="Times New Roman"/>
                <w:b w:val="0"/>
                <w:sz w:val="15"/>
              </w:rPr>
              <w:t>An toàn lao động, PCCC, an toàn điện</w:t>
            </w:r>
          </w:p>
        </w:tc>
        <w:tc>
          <w:tcPr>
            <w:tcW w:type="dxa" w:w="3513"/>
            <w:vAlign w:val="center"/>
          </w:tcPr>
          <w:p>
            <w:pPr>
              <w:jc w:val="left"/>
            </w:pPr>
            <w:r/>
            <w:r>
              <w:rPr>
                <w:rFonts w:ascii="Times New Roman" w:hAnsi="Times New Roman" w:eastAsia="Times New Roman"/>
                <w:b w:val="0"/>
                <w:sz w:val="15"/>
              </w:rPr>
              <w:t>Luật An toàn, vệ sinh lao động, quy định về PCCC, an toàn điện và quy chuẩn kỹ thuật chuyên ngành áp dụng cho địa điểm/hạng mục công việc.</w:t>
            </w:r>
          </w:p>
        </w:tc>
        <w:tc>
          <w:tcPr>
            <w:tcW w:type="dxa" w:w="3513"/>
            <w:vAlign w:val="center"/>
          </w:tcPr>
          <w:p>
            <w:pPr>
              <w:jc w:val="left"/>
            </w:pPr>
            <w:r/>
            <w:r>
              <w:rPr>
                <w:rFonts w:ascii="Times New Roman" w:hAnsi="Times New Roman" w:eastAsia="Times New Roman"/>
                <w:b w:val="0"/>
                <w:sz w:val="15"/>
              </w:rPr>
              <w:t>Kiểm soát trách nhiệm hiện trường và quyền dừng vì lý do an toàn.</w:t>
            </w:r>
          </w:p>
        </w:tc>
      </w:tr>
      <w:tr>
        <w:tc>
          <w:tcPr>
            <w:tcW w:type="dxa" w:w="3513"/>
            <w:vAlign w:val="center"/>
          </w:tcPr>
          <w:p>
            <w:pPr>
              <w:jc w:val="left"/>
            </w:pPr>
            <w:r/>
            <w:r>
              <w:rPr>
                <w:rFonts w:ascii="Times New Roman" w:hAnsi="Times New Roman" w:eastAsia="Times New Roman"/>
                <w:b w:val="0"/>
                <w:sz w:val="15"/>
              </w:rPr>
              <w:t>Bất khả kháng</w:t>
            </w:r>
          </w:p>
        </w:tc>
        <w:tc>
          <w:tcPr>
            <w:tcW w:type="dxa" w:w="3513"/>
            <w:vAlign w:val="center"/>
          </w:tcPr>
          <w:p>
            <w:pPr>
              <w:jc w:val="left"/>
            </w:pPr>
            <w:r/>
            <w:r>
              <w:rPr>
                <w:rFonts w:ascii="Times New Roman" w:hAnsi="Times New Roman" w:eastAsia="Times New Roman"/>
                <w:b w:val="0"/>
                <w:sz w:val="15"/>
              </w:rPr>
              <w:t>Bộ luật Dân sự 2015: Điều 351 khoản 2 và nguyên tắc miễn trách nhiệm khi có sự kiện bất khả kháng; cần quy định nghĩa vụ thông báo và giảm thiểu thiệt hại.</w:t>
            </w:r>
          </w:p>
        </w:tc>
        <w:tc>
          <w:tcPr>
            <w:tcW w:type="dxa" w:w="3513"/>
            <w:vAlign w:val="center"/>
          </w:tcPr>
          <w:p>
            <w:pPr>
              <w:jc w:val="left"/>
            </w:pPr>
            <w:r/>
            <w:r>
              <w:rPr>
                <w:rFonts w:ascii="Times New Roman" w:hAnsi="Times New Roman" w:eastAsia="Times New Roman"/>
                <w:b w:val="0"/>
                <w:sz w:val="15"/>
              </w:rPr>
              <w:t>Miễn/giãn trách nhiệm khi có sự kiện khách quan ngoài kiểm soát.</w:t>
            </w:r>
          </w:p>
        </w:tc>
      </w:tr>
    </w:tbl>
    <w:p>
      <w:pPr>
        <w:spacing w:after="40" w:line="252" w:lineRule="auto"/>
        <w:jc w:val="center"/>
      </w:pPr>
      <w:r>
        <w:rPr>
          <w:rFonts w:ascii="Times New Roman" w:hAnsi="Times New Roman" w:eastAsia="Times New Roman"/>
          <w:b/>
          <w:i w:val="0"/>
          <w:sz w:val="22"/>
        </w:rPr>
        <w:t>Phụ lục - Checklist trước khi ký</w:t>
      </w:r>
    </w:p>
    <w:p>
      <w:pPr>
        <w:ind w:left="227"/>
      </w:pPr>
      <w:r>
        <w:rPr>
          <w:rFonts w:ascii="Times New Roman" w:hAnsi="Times New Roman" w:eastAsia="Times New Roman"/>
          <w:sz w:val="18"/>
        </w:rPr>
        <w:t>☐ Điền đầy đủ số hợp đồng/phụ lục, ngày ký, người đại diện, chức vụ và thẩm quyền ký.</w:t>
      </w:r>
    </w:p>
    <w:p>
      <w:pPr>
        <w:ind w:left="227"/>
      </w:pPr>
      <w:r>
        <w:rPr>
          <w:rFonts w:ascii="Times New Roman" w:hAnsi="Times New Roman" w:eastAsia="Times New Roman"/>
          <w:sz w:val="18"/>
        </w:rPr>
        <w:t>☐ Điền rõ VAT, giá đã bao gồm hay chưa bao gồm VAT, tổng thanh toán và số tiền bằng chữ nếu cần.</w:t>
      </w:r>
    </w:p>
    <w:p>
      <w:pPr>
        <w:ind w:left="227"/>
      </w:pPr>
      <w:r>
        <w:rPr>
          <w:rFonts w:ascii="Times New Roman" w:hAnsi="Times New Roman" w:eastAsia="Times New Roman"/>
          <w:sz w:val="18"/>
        </w:rPr>
        <w:t>☐ Điền rõ tiến độ thanh toán, thời hạn thanh toán, lãi chậm trả và hồ sơ thanh toán.</w:t>
      </w:r>
    </w:p>
    <w:p>
      <w:pPr>
        <w:ind w:left="227"/>
      </w:pPr>
      <w:r>
        <w:rPr>
          <w:rFonts w:ascii="Times New Roman" w:hAnsi="Times New Roman" w:eastAsia="Times New Roman"/>
          <w:sz w:val="18"/>
        </w:rPr>
        <w:t>☐ Điền rõ thời hạn kiểm tra/nghiệm thu mặc nhiên, thời hạn bảo hành và phạm vi loại trừ bảo hành.</w:t>
      </w:r>
    </w:p>
    <w:p>
      <w:pPr>
        <w:ind w:left="227"/>
      </w:pPr>
      <w:r>
        <w:rPr>
          <w:rFonts w:ascii="Times New Roman" w:hAnsi="Times New Roman" w:eastAsia="Times New Roman"/>
          <w:sz w:val="18"/>
        </w:rPr>
        <w:t>☐ Kiểm tra mức phạt vi phạm không vượt giới hạn pháp luật áp dụng cho loại giao dịch.</w:t>
      </w:r>
    </w:p>
    <w:p>
      <w:pPr>
        <w:ind w:left="227"/>
      </w:pPr>
      <w:r>
        <w:rPr>
          <w:rFonts w:ascii="Times New Roman" w:hAnsi="Times New Roman" w:eastAsia="Times New Roman"/>
          <w:sz w:val="18"/>
        </w:rPr>
        <w:t>☐ Đính kèm báo giá, bảng khối lượng, phụ lục tiến độ, phụ lục kỹ thuật, phụ lục chính sách nếu dùng.</w:t>
      </w:r>
    </w:p>
    <w:p>
      <w:pPr>
        <w:ind w:left="227"/>
      </w:pPr>
      <w:r>
        <w:rPr>
          <w:rFonts w:ascii="Times New Roman" w:hAnsi="Times New Roman" w:eastAsia="Times New Roman"/>
          <w:sz w:val="18"/>
        </w:rPr>
        <w:t>☐ Kiểm tra thông tin xuất hóa đơn, tài khoản ngân hàng và người nhận thông báo/email chính thức.</w:t>
      </w:r>
    </w:p>
    <w:p>
      <w:pPr>
        <w:ind w:left="227"/>
      </w:pPr>
      <w:r>
        <w:rPr>
          <w:rFonts w:ascii="Times New Roman" w:hAnsi="Times New Roman" w:eastAsia="Times New Roman"/>
          <w:sz w:val="18"/>
        </w:rPr>
        <w:t>☐ Với hợp đồng giá trị lớn/nhà nước/nước ngoài: chuyển LEXcentra/kế toán/luật sư rà cuối trước khi ký.</w:t>
      </w:r>
    </w:p>
    <w:sectPr w:rsidR="00FC693F" w:rsidRPr="0006063C" w:rsidSect="00034616">
      <w:headerReference w:type="default" r:id="rId9"/>
      <w:footerReference w:type="default" r:id="rId10"/>
      <w:pgSz w:w="12240" w:h="15840"/>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 xml:space="preserve">THANH HOÀI Contract Template v3.0 - LEX References | Trang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sz w:val="16"/>
      </w:rPr>
      <w:t>THANH HOÀI ERP - BỘ MẪU HỢP ĐỒNG | HỢP ĐỒNG KINH TẾ | Mã mẫu: HDKT-TH-v3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