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  <w:gridCol w:w="2835"/>
      </w:tblGrid>
      <w:tr>
        <w:tc>
          <w:tcPr>
            <w:tcW w:type="dxa" w:w="5298"/>
            <w:tcBorders>
              <w:bottom w:val="single" w:sz="12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22"/>
              </w:rPr>
              <w:t>CÔNG TY TNHH MTV CƠ ĐIỆN LẠNH THANH HOÀI</w:t>
            </w:r>
            <w:r>
              <w:br/>
            </w:r>
            <w:r>
              <w:rPr>
                <w:rFonts w:ascii="Arial" w:hAnsi="Arial"/>
                <w:b/>
                <w:i w:val="0"/>
                <w:color w:val="1F4E78"/>
                <w:sz w:val="18"/>
              </w:rPr>
              <w:t>BỘ HỒ SƠ CÔNG TRÌNH - THANH_HOAI_ERP</w:t>
            </w:r>
          </w:p>
        </w:tc>
        <w:tc>
          <w:tcPr>
            <w:tcW w:type="dxa" w:w="5298"/>
            <w:tcBorders>
              <w:bottom w:val="single" w:sz="12" w:color="17365D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Mã mẫu: CT-00-CLDH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Phiên bản: v3.0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Ngày ban hành: 2026-07-13</w:t>
            </w:r>
          </w:p>
        </w:tc>
      </w:tr>
    </w:tbl>
    <w:p>
      <w:pPr>
        <w:spacing w:before="160" w:after="160"/>
        <w:jc w:val="center"/>
      </w:pPr>
      <w:r>
        <w:rPr>
          <w:rFonts w:ascii="Arial" w:hAnsi="Arial"/>
          <w:b/>
          <w:i w:val="0"/>
          <w:color w:val="17365D"/>
          <w:sz w:val="30"/>
        </w:rPr>
        <w:t>CHECKLIST ĐÓNG HỒ SƠ CÔNG TRÌNH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Tên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Mã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{{MA_CONG_TRINH}}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Địa điểm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{{DIA_DIEM_CONG_TRINH}}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Chủ đầu tư / Bên giao việc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{{TEN_CHU_DAU_TU}}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Hợp đồng số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{{SO_HOP_DONG}} ngày {{NGAY_HOP_DONG}}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Hạng mục / Gói thầu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{{HANG_MUC_THI_CONG}}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Ngày lập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{{NGAY_LAP}}</w:t>
            </w:r>
          </w:p>
        </w:tc>
      </w:tr>
    </w:tbl>
    <w:p/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I. MỤC ĐÍCH / PHẠM VI</w:t>
      </w:r>
    </w:p>
    <w:p>
      <w:pPr>
        <w:spacing w:after="60" w:line="259" w:lineRule="auto"/>
      </w:pPr>
      <w:r>
        <w:rPr>
          <w:rFonts w:ascii="Arial" w:hAnsi="Arial"/>
          <w:b w:val="0"/>
          <w:i w:val="0"/>
          <w:sz w:val="20"/>
        </w:rPr>
        <w:t>Kiểm tra tính đầy đủ, tính ký duyệt, revision và liên kết chứng từ trước khi đóng/lưu trữ hồ sơ công trình.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II. QUY TẮC ĐÓNG HỒ SƠ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Chỉ đóng khi các hồ sơ bắt buộc đã SIGNED hoặc được đánh dấu NOT_APPLICABLE có lý do.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Không còn công nợ, vật tư mượn/hoàn trả hoặc sự cố bảo hành chưa được xử lý theo điều kiện đóng.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Bản gốc, PDF ký và dữ liệu ERP phải liên kết cùng một mã hồ sơ.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III. CHECKLIST 00–09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STT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Giai đoạn</w:t>
            </w:r>
          </w:p>
        </w:tc>
        <w:tc>
          <w:tcPr>
            <w:tcW w:type="dxa" w:w="204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Nhóm hồ sơ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Yêu cầu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Trạng thái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Revision cuối</w:t>
            </w:r>
          </w:p>
        </w:tc>
        <w:tc>
          <w:tcPr>
            <w:tcW w:type="dxa" w:w="141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Người kiểm tra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Ngày</w:t>
            </w:r>
          </w:p>
        </w:tc>
        <w:tc>
          <w:tcPr>
            <w:tcW w:type="dxa" w:w="141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Ghi chú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204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4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4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4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4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4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4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4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4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4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4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4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41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KỸ THUẬT TRƯỞNG / KẾ TOÁN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GIÁM ĐỐC PHÊ DUYỆT ĐÓNG HỒ SƠ</w:t>
            </w:r>
          </w:p>
        </w:tc>
      </w:tr>
      <w:tr>
        <w:trPr>
          <w:trHeight w:val="765"/>
        </w:trP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709" w:left="87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085"/>
        <w:sz w:val="16"/>
      </w:rPr>
      <w:t>CÔNG TY TNHH MTV CƠ ĐIỆN LẠNH THANH HOÀI | Thanh_hoai_ERP / App 8777 | Không ghi đè hồ sơ đã ký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