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CT-01-BBHKD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BIÊN BẢN HỌP KHỞI ĐỘNG CÔNG TRÌNH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Ghi nhận thống nhất ban đầu giữa các bên trước khi triển khai thi công.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THÀNH PHẦN THAM DỰ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Đơn vị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Họ tên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Chức vụ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Ký tên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NỘI DUNG THỐNG NHẤT</w:t>
      </w:r>
    </w:p>
    <w:p>
      <w:pPr>
        <w:pStyle w:val="ListBullet"/>
      </w:pPr>
      <w:r>
        <w:rPr>
          <w:rFonts w:ascii="Arial" w:hAnsi="Arial" w:eastAsia="Arial"/>
          <w:sz w:val="20"/>
        </w:rPr>
        <w:t>Phạm vi công việc/hạng mục triển khai.</w:t>
      </w:r>
    </w:p>
    <w:p>
      <w:pPr>
        <w:pStyle w:val="ListBullet"/>
      </w:pPr>
      <w:r>
        <w:rPr>
          <w:rFonts w:ascii="Arial" w:hAnsi="Arial" w:eastAsia="Arial"/>
          <w:sz w:val="20"/>
        </w:rPr>
        <w:t>Đầu mối liên hệ và kênh trao đổi chính thức.</w:t>
      </w:r>
    </w:p>
    <w:p>
      <w:pPr>
        <w:pStyle w:val="ListBullet"/>
      </w:pPr>
      <w:r>
        <w:rPr>
          <w:rFonts w:ascii="Arial" w:hAnsi="Arial" w:eastAsia="Arial"/>
          <w:sz w:val="20"/>
        </w:rPr>
        <w:t>Quy trình đệ trình vật tư, nghiệm thu, phát sinh, thanh toán.</w:t>
      </w:r>
    </w:p>
    <w:p>
      <w:pPr>
        <w:pStyle w:val="ListBullet"/>
      </w:pPr>
      <w:r>
        <w:rPr>
          <w:rFonts w:ascii="Arial" w:hAnsi="Arial" w:eastAsia="Arial"/>
          <w:sz w:val="20"/>
        </w:rPr>
        <w:t>Yêu cầu an toàn, vệ sinh môi trường, ra vào công trường.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IV. KẾT LUẬN &amp; CÔNG VIỆC TIẾP THEO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Nội dung việc cần làm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Người phụ trách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Hạn hoàn thành</w:t>
            </w:r>
          </w:p>
        </w:tc>
        <w:tc>
          <w:tcPr>
            <w:tcW w:type="dxa" w:w="2102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Trạng thái</w:t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2102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