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rPr>
        <w:t>CỘNG HÒA XÃ HỘI CHỦ NGHĨA VIỆT NAM</w:t>
      </w:r>
    </w:p>
    <w:p>
      <w:pPr>
        <w:jc w:val="center"/>
      </w:pPr>
      <w:r>
        <w:rPr>
          <w:rFonts w:ascii="Times New Roman" w:hAnsi="Times New Roman" w:eastAsia="Times New Roman"/>
          <w:b/>
          <w:i w:val="0"/>
          <w:sz w:val="22"/>
        </w:rPr>
        <w:t>Độc lập - Tự do - Hạnh phúc</w:t>
      </w:r>
    </w:p>
    <w:p>
      <w:pPr>
        <w:jc w:val="center"/>
      </w:pPr>
      <w:r>
        <w:rPr>
          <w:rFonts w:ascii="Times New Roman" w:hAnsi="Times New Roman" w:eastAsia="Times New Roman"/>
          <w:b w:val="0"/>
          <w:i w:val="0"/>
          <w:sz w:val="22"/>
        </w:rPr>
        <w:t>---o0o---</w:t>
      </w:r>
    </w:p>
    <w:p>
      <w:pPr>
        <w:jc w:val="center"/>
      </w:pPr>
      <w:r>
        <w:rPr>
          <w:rFonts w:ascii="Times New Roman" w:hAnsi="Times New Roman" w:eastAsia="Times New Roman"/>
          <w:b/>
          <w:i w:val="0"/>
          <w:sz w:val="32"/>
        </w:rPr>
        <w:t>HỢP ĐỒNG MUA BÁN HÀNG HÓA</w:t>
      </w:r>
    </w:p>
    <w:p>
      <w:pPr>
        <w:jc w:val="center"/>
      </w:pPr>
      <w:r>
        <w:rPr>
          <w:rFonts w:ascii="Times New Roman" w:hAnsi="Times New Roman" w:eastAsia="Times New Roman"/>
          <w:b/>
          <w:i w:val="0"/>
          <w:sz w:val="22"/>
        </w:rPr>
        <w:t>Số: {{so_hop_dong}}/HĐMB/TH</w:t>
      </w:r>
    </w:p>
    <w:p>
      <w:r>
        <w:rPr>
          <w:rFonts w:ascii="Times New Roman" w:hAnsi="Times New Roman" w:eastAsia="Times New Roman"/>
          <w:b w:val="0"/>
          <w:i/>
          <w:sz w:val="22"/>
        </w:rPr>
        <w:t>Hôm nay, ngày {{ngay}} tháng {{thang}} năm {{nam}}, tại {{dia_diem_ky}}, chúng tôi gồm:</w:t>
      </w:r>
    </w:p>
    <w:tbl>
      <w:tblPr>
        <w:tblStyle w:val="TableGrid"/>
        <w:tblW w:type="auto" w:w="0"/>
        <w:jc w:val="center"/>
        <w:tblLook w:firstColumn="1" w:firstRow="1" w:lastColumn="0" w:lastRow="0" w:noHBand="0" w:noVBand="1" w:val="04A0"/>
      </w:tblPr>
      <w:tblGrid>
        <w:gridCol w:w="5071"/>
        <w:gridCol w:w="5071"/>
      </w:tblGrid>
      <w:tr>
        <w:tc>
          <w:tcPr>
            <w:tcW w:type="dxa" w:w="5071"/>
            <w:vAlign w:val="center"/>
            <w:shd w:fill="D9EAF7"/>
          </w:tcPr>
          <w:p>
            <w:pPr>
              <w:jc w:val="center"/>
            </w:pPr>
            <w:r/>
            <w:r>
              <w:rPr>
                <w:rFonts w:ascii="Times New Roman" w:hAnsi="Times New Roman" w:eastAsia="Times New Roman"/>
                <w:b/>
                <w:sz w:val="22"/>
              </w:rPr>
              <w:t>BÊN A - KHÁCH HÀNG / ĐỐI TÁC</w:t>
            </w:r>
          </w:p>
        </w:tc>
        <w:tc>
          <w:tcPr>
            <w:tcW w:type="dxa" w:w="5071"/>
            <w:vAlign w:val="center"/>
            <w:shd w:fill="D9EAF7"/>
          </w:tcPr>
          <w:p>
            <w:pPr>
              <w:jc w:val="center"/>
            </w:pPr>
            <w:r/>
            <w:r>
              <w:rPr>
                <w:rFonts w:ascii="Times New Roman" w:hAnsi="Times New Roman" w:eastAsia="Times New Roman"/>
                <w:b/>
                <w:sz w:val="22"/>
              </w:rPr>
              <w:t>BÊN B - THANH HOÀI</w:t>
            </w:r>
          </w:p>
        </w:tc>
      </w:tr>
      <w:tr>
        <w:tc>
          <w:tcPr>
            <w:tcW w:type="dxa" w:w="5071"/>
            <w:vAlign w:val="center"/>
          </w:tcPr>
          <w:p>
            <w:r/>
            <w:r>
              <w:rPr>
                <w:rFonts w:ascii="Times New Roman" w:hAnsi="Times New Roman" w:eastAsia="Times New Roman"/>
                <w:b w:val="0"/>
                <w:sz w:val="22"/>
              </w:rPr>
              <w:t>Tên đơn vị: {{ben_a_ten}}</w:t>
              <w:br/>
              <w:t>Địa chỉ: {{ben_a_dia_chi}}</w:t>
              <w:br/>
              <w:t>Mã số thuế: {{ben_a_mst}}</w:t>
              <w:br/>
              <w:t>Điện thoại: {{ben_a_dien_thoai}}</w:t>
              <w:br/>
              <w:t>Email: {{ben_a_email}}</w:t>
              <w:br/>
              <w:t>Đại diện: {{ben_a_dai_dien}}</w:t>
              <w:br/>
              <w:t>Chức vụ: {{ben_a_chuc_vu}}</w:t>
              <w:br/>
              <w:t>Tài khoản: {{ben_a_tai_khoan}}</w:t>
              <w:br/>
              <w:t>Ngân hàng: {{ben_a_ngan_hang}}</w:t>
            </w:r>
          </w:p>
        </w:tc>
        <w:tc>
          <w:tcPr>
            <w:tcW w:type="dxa" w:w="5071"/>
            <w:vAlign w:val="center"/>
          </w:tcPr>
          <w:p>
            <w:r/>
            <w:r>
              <w:rPr>
                <w:rFonts w:ascii="Times New Roman" w:hAnsi="Times New Roman" w:eastAsia="Times New Roman"/>
                <w:b w:val="0"/>
                <w:sz w:val="22"/>
              </w:rPr>
              <w:t>Tên đơn vị: CÔNG TY TNHH MTV CƠ ĐIỆN LẠNH THANH HOÀI</w:t>
              <w:br/>
              <w:t>Địa chỉ: 448/3, Tổ 16, KP 2, Phường Long Hưng, TP Đồng Nai, Việt Nam</w:t>
              <w:br/>
              <w:t>Mã số thuế: 3602504881</w:t>
              <w:br/>
              <w:t>Điện thoại: 02513 835 395</w:t>
              <w:br/>
              <w:t>Email: {{ben_b_email}}</w:t>
              <w:br/>
              <w:t>Đại diện: PHAN TRẦN ANH QUÂN</w:t>
              <w:br/>
              <w:t>Chức vụ: Giám đốc</w:t>
              <w:br/>
              <w:t>Tài khoản: 136822159</w:t>
              <w:br/>
              <w:t>Ngân hàng: Ngân hàng ACB - Chi nhánh/PGD Long Bình Tân, Đồng Nai</w:t>
            </w:r>
          </w:p>
        </w:tc>
      </w:tr>
    </w:tbl>
    <w:p>
      <w:r>
        <w:rPr>
          <w:rFonts w:ascii="Times New Roman" w:hAnsi="Times New Roman" w:eastAsia="Times New Roman"/>
          <w:b w:val="0"/>
          <w:i w:val="0"/>
          <w:sz w:val="22"/>
        </w:rPr>
        <w:t>Sau khi bàn bạc trên tinh thần thiện chí, trung thực và cùng có lợi, hai bên thống nhất ký kết hợp đồng với các điều khoản sau:</w:t>
      </w:r>
    </w:p>
    <w:p>
      <w:pPr>
        <w:keepNext/>
        <w:spacing w:before="100"/>
      </w:pPr>
      <w:r>
        <w:rPr>
          <w:rFonts w:ascii="Times New Roman" w:hAnsi="Times New Roman" w:eastAsia="Times New Roman"/>
          <w:b/>
          <w:i w:val="0"/>
          <w:sz w:val="22"/>
        </w:rPr>
        <w:t>Điều 1. Hàng hóa, số lượng, quy cách</w:t>
      </w:r>
    </w:p>
    <w:p>
      <w:r>
        <w:rPr>
          <w:rFonts w:ascii="Times New Roman" w:hAnsi="Times New Roman" w:eastAsia="Times New Roman"/>
          <w:b w:val="0"/>
          <w:i w:val="0"/>
          <w:sz w:val="22"/>
        </w:rPr>
        <w:t>1. Bên B đồng ý bán cho Bên A hàng hóa theo danh mục, số lượng, quy cách, đơn giá và thành tiền được ghi tại hợp đồng này, báo giá, phụ lục, đơn đặt hàng hoặc xác nhận đơn hàng hợp lệ.</w:t>
      </w:r>
    </w:p>
    <w:p>
      <w:r>
        <w:rPr>
          <w:rFonts w:ascii="Times New Roman" w:hAnsi="Times New Roman" w:eastAsia="Times New Roman"/>
          <w:b w:val="0"/>
          <w:i w:val="0"/>
          <w:sz w:val="22"/>
        </w:rPr>
        <w:t>2. Danh mục chi tiết:</w:t>
      </w:r>
    </w:p>
    <w:tbl>
      <w:tblPr>
        <w:tblStyle w:val="TableGrid"/>
        <w:tblW w:type="auto" w:w="0"/>
        <w:jc w:val="center"/>
        <w:tblLook w:firstColumn="1" w:firstRow="1" w:lastColumn="0" w:lastRow="0" w:noHBand="0" w:noVBand="1" w:val="04A0"/>
      </w:tblPr>
      <w:tblGrid>
        <w:gridCol w:w="1268"/>
        <w:gridCol w:w="1268"/>
        <w:gridCol w:w="1268"/>
        <w:gridCol w:w="1268"/>
        <w:gridCol w:w="1268"/>
        <w:gridCol w:w="1268"/>
        <w:gridCol w:w="1268"/>
        <w:gridCol w:w="1268"/>
      </w:tblGrid>
      <w:tr>
        <w:tc>
          <w:tcPr>
            <w:tcW w:type="dxa" w:w="1268"/>
            <w:vAlign w:val="center"/>
            <w:shd w:fill="D9EAF7"/>
          </w:tcPr>
          <w:p>
            <w:pPr>
              <w:jc w:val="center"/>
            </w:pPr>
            <w:r/>
            <w:r>
              <w:rPr>
                <w:rFonts w:ascii="Times New Roman" w:hAnsi="Times New Roman" w:eastAsia="Times New Roman"/>
                <w:b/>
                <w:sz w:val="22"/>
              </w:rPr>
              <w:t>STT</w:t>
            </w:r>
          </w:p>
        </w:tc>
        <w:tc>
          <w:tcPr>
            <w:tcW w:type="dxa" w:w="1268"/>
            <w:vAlign w:val="center"/>
            <w:shd w:fill="D9EAF7"/>
          </w:tcPr>
          <w:p>
            <w:pPr>
              <w:jc w:val="center"/>
            </w:pPr>
            <w:r/>
            <w:r>
              <w:rPr>
                <w:rFonts w:ascii="Times New Roman" w:hAnsi="Times New Roman" w:eastAsia="Times New Roman"/>
                <w:b/>
                <w:sz w:val="22"/>
              </w:rPr>
              <w:t>Tên hàng hóa / hạng mục</w:t>
            </w:r>
          </w:p>
        </w:tc>
        <w:tc>
          <w:tcPr>
            <w:tcW w:type="dxa" w:w="1268"/>
            <w:vAlign w:val="center"/>
            <w:shd w:fill="D9EAF7"/>
          </w:tcPr>
          <w:p>
            <w:pPr>
              <w:jc w:val="center"/>
            </w:pPr>
            <w:r/>
            <w:r>
              <w:rPr>
                <w:rFonts w:ascii="Times New Roman" w:hAnsi="Times New Roman" w:eastAsia="Times New Roman"/>
                <w:b/>
                <w:sz w:val="22"/>
              </w:rPr>
              <w:t>Quy cách / Model</w:t>
            </w:r>
          </w:p>
        </w:tc>
        <w:tc>
          <w:tcPr>
            <w:tcW w:type="dxa" w:w="1268"/>
            <w:vAlign w:val="center"/>
            <w:shd w:fill="D9EAF7"/>
          </w:tcPr>
          <w:p>
            <w:pPr>
              <w:jc w:val="center"/>
            </w:pPr>
            <w:r/>
            <w:r>
              <w:rPr>
                <w:rFonts w:ascii="Times New Roman" w:hAnsi="Times New Roman" w:eastAsia="Times New Roman"/>
                <w:b/>
                <w:sz w:val="22"/>
              </w:rPr>
              <w:t>ĐVT</w:t>
            </w:r>
          </w:p>
        </w:tc>
        <w:tc>
          <w:tcPr>
            <w:tcW w:type="dxa" w:w="1268"/>
            <w:vAlign w:val="center"/>
            <w:shd w:fill="D9EAF7"/>
          </w:tcPr>
          <w:p>
            <w:pPr>
              <w:jc w:val="center"/>
            </w:pPr>
            <w:r/>
            <w:r>
              <w:rPr>
                <w:rFonts w:ascii="Times New Roman" w:hAnsi="Times New Roman" w:eastAsia="Times New Roman"/>
                <w:b/>
                <w:sz w:val="22"/>
              </w:rPr>
              <w:t>Số lượng</w:t>
            </w:r>
          </w:p>
        </w:tc>
        <w:tc>
          <w:tcPr>
            <w:tcW w:type="dxa" w:w="1268"/>
            <w:vAlign w:val="center"/>
            <w:shd w:fill="D9EAF7"/>
          </w:tcPr>
          <w:p>
            <w:pPr>
              <w:jc w:val="center"/>
            </w:pPr>
            <w:r/>
            <w:r>
              <w:rPr>
                <w:rFonts w:ascii="Times New Roman" w:hAnsi="Times New Roman" w:eastAsia="Times New Roman"/>
                <w:b/>
                <w:sz w:val="22"/>
              </w:rPr>
              <w:t>Đơn giá</w:t>
            </w:r>
          </w:p>
        </w:tc>
        <w:tc>
          <w:tcPr>
            <w:tcW w:type="dxa" w:w="1268"/>
            <w:vAlign w:val="center"/>
            <w:shd w:fill="D9EAF7"/>
          </w:tcPr>
          <w:p>
            <w:pPr>
              <w:jc w:val="center"/>
            </w:pPr>
            <w:r/>
            <w:r>
              <w:rPr>
                <w:rFonts w:ascii="Times New Roman" w:hAnsi="Times New Roman" w:eastAsia="Times New Roman"/>
                <w:b/>
                <w:sz w:val="22"/>
              </w:rPr>
              <w:t>Thành tiền</w:t>
            </w:r>
          </w:p>
        </w:tc>
        <w:tc>
          <w:tcPr>
            <w:tcW w:type="dxa" w:w="1268"/>
            <w:vAlign w:val="center"/>
            <w:shd w:fill="D9EAF7"/>
          </w:tcPr>
          <w:p>
            <w:pPr>
              <w:jc w:val="center"/>
            </w:pPr>
            <w:r/>
            <w:r>
              <w:rPr>
                <w:rFonts w:ascii="Times New Roman" w:hAnsi="Times New Roman" w:eastAsia="Times New Roman"/>
                <w:b/>
                <w:sz w:val="22"/>
              </w:rPr>
              <w:t>Ghi chú</w:t>
            </w:r>
          </w:p>
        </w:tc>
      </w:tr>
      <w:tr>
        <w:tc>
          <w:tcPr>
            <w:tcW w:type="dxa" w:w="1268"/>
            <w:vAlign w:val="center"/>
          </w:tcPr>
          <w:p>
            <w:pPr>
              <w:jc w:val="center"/>
            </w:pPr>
            <w:r/>
            <w:r>
              <w:rPr>
                <w:rFonts w:ascii="Times New Roman" w:hAnsi="Times New Roman" w:eastAsia="Times New Roman"/>
                <w:b w:val="0"/>
                <w:sz w:val="22"/>
              </w:rPr>
              <w:t>1</w:t>
            </w:r>
          </w:p>
        </w:tc>
        <w:tc>
          <w:tcPr>
            <w:tcW w:type="dxa" w:w="1268"/>
            <w:vAlign w:val="center"/>
          </w:tcPr>
          <w:p>
            <w:r/>
            <w:r>
              <w:rPr>
                <w:rFonts w:ascii="Times New Roman" w:hAnsi="Times New Roman" w:eastAsia="Times New Roman"/>
                <w:b w:val="0"/>
                <w:sz w:val="22"/>
              </w:rPr>
              <w:t>{{ten_hang_muc_1}}</w:t>
            </w:r>
          </w:p>
        </w:tc>
        <w:tc>
          <w:tcPr>
            <w:tcW w:type="dxa" w:w="1268"/>
            <w:vAlign w:val="center"/>
          </w:tcPr>
          <w:p>
            <w:r/>
            <w:r>
              <w:rPr>
                <w:rFonts w:ascii="Times New Roman" w:hAnsi="Times New Roman" w:eastAsia="Times New Roman"/>
                <w:b w:val="0"/>
                <w:sz w:val="22"/>
              </w:rPr>
              <w:t>{{quy_cach_1}}</w:t>
            </w:r>
          </w:p>
        </w:tc>
        <w:tc>
          <w:tcPr>
            <w:tcW w:type="dxa" w:w="1268"/>
            <w:vAlign w:val="center"/>
          </w:tcPr>
          <w:p>
            <w:pPr>
              <w:jc w:val="center"/>
            </w:pPr>
            <w:r/>
            <w:r>
              <w:rPr>
                <w:rFonts w:ascii="Times New Roman" w:hAnsi="Times New Roman" w:eastAsia="Times New Roman"/>
                <w:b w:val="0"/>
                <w:sz w:val="22"/>
              </w:rPr>
              <w:t>{{dvt_1}}</w:t>
            </w:r>
          </w:p>
        </w:tc>
        <w:tc>
          <w:tcPr>
            <w:tcW w:type="dxa" w:w="1268"/>
            <w:vAlign w:val="center"/>
          </w:tcPr>
          <w:p>
            <w:pPr>
              <w:jc w:val="center"/>
            </w:pPr>
            <w:r/>
            <w:r>
              <w:rPr>
                <w:rFonts w:ascii="Times New Roman" w:hAnsi="Times New Roman" w:eastAsia="Times New Roman"/>
                <w:b w:val="0"/>
                <w:sz w:val="22"/>
              </w:rPr>
              <w:t>{{so_luong_1}}</w:t>
            </w:r>
          </w:p>
        </w:tc>
        <w:tc>
          <w:tcPr>
            <w:tcW w:type="dxa" w:w="1268"/>
            <w:vAlign w:val="center"/>
          </w:tcPr>
          <w:p>
            <w:pPr>
              <w:jc w:val="center"/>
            </w:pPr>
            <w:r/>
            <w:r>
              <w:rPr>
                <w:rFonts w:ascii="Times New Roman" w:hAnsi="Times New Roman" w:eastAsia="Times New Roman"/>
                <w:b w:val="0"/>
                <w:sz w:val="22"/>
              </w:rPr>
              <w:t>{{don_gia_1}}</w:t>
            </w:r>
          </w:p>
        </w:tc>
        <w:tc>
          <w:tcPr>
            <w:tcW w:type="dxa" w:w="1268"/>
            <w:vAlign w:val="center"/>
          </w:tcPr>
          <w:p>
            <w:pPr>
              <w:jc w:val="center"/>
            </w:pPr>
            <w:r/>
            <w:r>
              <w:rPr>
                <w:rFonts w:ascii="Times New Roman" w:hAnsi="Times New Roman" w:eastAsia="Times New Roman"/>
                <w:b w:val="0"/>
                <w:sz w:val="22"/>
              </w:rPr>
              <w:t>{{thanh_tien_1}}</w:t>
            </w:r>
          </w:p>
        </w:tc>
        <w:tc>
          <w:tcPr>
            <w:tcW w:type="dxa" w:w="1268"/>
            <w:vAlign w:val="center"/>
          </w:tcPr>
          <w:p>
            <w:r/>
            <w:r>
              <w:rPr>
                <w:rFonts w:ascii="Times New Roman" w:hAnsi="Times New Roman" w:eastAsia="Times New Roman"/>
                <w:b w:val="0"/>
                <w:sz w:val="22"/>
              </w:rPr>
              <w:t>{{ghi_chu_1}}</w:t>
            </w:r>
          </w:p>
        </w:tc>
      </w:tr>
      <w:tr>
        <w:tc>
          <w:tcPr>
            <w:tcW w:type="dxa" w:w="1268"/>
            <w:vAlign w:val="center"/>
          </w:tcPr>
          <w:p>
            <w:pPr>
              <w:jc w:val="center"/>
            </w:pPr>
            <w:r/>
            <w:r>
              <w:rPr>
                <w:rFonts w:ascii="Times New Roman" w:hAnsi="Times New Roman" w:eastAsia="Times New Roman"/>
                <w:b w:val="0"/>
                <w:sz w:val="22"/>
              </w:rPr>
              <w:t>2</w:t>
            </w:r>
          </w:p>
        </w:tc>
        <w:tc>
          <w:tcPr>
            <w:tcW w:type="dxa" w:w="1268"/>
            <w:vAlign w:val="center"/>
          </w:tcPr>
          <w:p>
            <w:r/>
            <w:r>
              <w:rPr>
                <w:rFonts w:ascii="Times New Roman" w:hAnsi="Times New Roman" w:eastAsia="Times New Roman"/>
                <w:b w:val="0"/>
                <w:sz w:val="22"/>
              </w:rPr>
              <w:t>{{ten_hang_muc_2}}</w:t>
            </w:r>
          </w:p>
        </w:tc>
        <w:tc>
          <w:tcPr>
            <w:tcW w:type="dxa" w:w="1268"/>
            <w:vAlign w:val="center"/>
          </w:tcPr>
          <w:p>
            <w:r/>
            <w:r>
              <w:rPr>
                <w:rFonts w:ascii="Times New Roman" w:hAnsi="Times New Roman" w:eastAsia="Times New Roman"/>
                <w:b w:val="0"/>
                <w:sz w:val="22"/>
              </w:rPr>
              <w:t>{{quy_cach_2}}</w:t>
            </w:r>
          </w:p>
        </w:tc>
        <w:tc>
          <w:tcPr>
            <w:tcW w:type="dxa" w:w="1268"/>
            <w:vAlign w:val="center"/>
          </w:tcPr>
          <w:p>
            <w:pPr>
              <w:jc w:val="center"/>
            </w:pPr>
            <w:r/>
            <w:r>
              <w:rPr>
                <w:rFonts w:ascii="Times New Roman" w:hAnsi="Times New Roman" w:eastAsia="Times New Roman"/>
                <w:b w:val="0"/>
                <w:sz w:val="22"/>
              </w:rPr>
              <w:t>{{dvt_2}}</w:t>
            </w:r>
          </w:p>
        </w:tc>
        <w:tc>
          <w:tcPr>
            <w:tcW w:type="dxa" w:w="1268"/>
            <w:vAlign w:val="center"/>
          </w:tcPr>
          <w:p>
            <w:pPr>
              <w:jc w:val="center"/>
            </w:pPr>
            <w:r/>
            <w:r>
              <w:rPr>
                <w:rFonts w:ascii="Times New Roman" w:hAnsi="Times New Roman" w:eastAsia="Times New Roman"/>
                <w:b w:val="0"/>
                <w:sz w:val="22"/>
              </w:rPr>
              <w:t>{{so_luong_2}}</w:t>
            </w:r>
          </w:p>
        </w:tc>
        <w:tc>
          <w:tcPr>
            <w:tcW w:type="dxa" w:w="1268"/>
            <w:vAlign w:val="center"/>
          </w:tcPr>
          <w:p>
            <w:pPr>
              <w:jc w:val="center"/>
            </w:pPr>
            <w:r/>
            <w:r>
              <w:rPr>
                <w:rFonts w:ascii="Times New Roman" w:hAnsi="Times New Roman" w:eastAsia="Times New Roman"/>
                <w:b w:val="0"/>
                <w:sz w:val="22"/>
              </w:rPr>
              <w:t>{{don_gia_2}}</w:t>
            </w:r>
          </w:p>
        </w:tc>
        <w:tc>
          <w:tcPr>
            <w:tcW w:type="dxa" w:w="1268"/>
            <w:vAlign w:val="center"/>
          </w:tcPr>
          <w:p>
            <w:pPr>
              <w:jc w:val="center"/>
            </w:pPr>
            <w:r/>
            <w:r>
              <w:rPr>
                <w:rFonts w:ascii="Times New Roman" w:hAnsi="Times New Roman" w:eastAsia="Times New Roman"/>
                <w:b w:val="0"/>
                <w:sz w:val="22"/>
              </w:rPr>
              <w:t>{{thanh_tien_2}}</w:t>
            </w:r>
          </w:p>
        </w:tc>
        <w:tc>
          <w:tcPr>
            <w:tcW w:type="dxa" w:w="1268"/>
            <w:vAlign w:val="center"/>
          </w:tcPr>
          <w:p>
            <w:r/>
            <w:r>
              <w:rPr>
                <w:rFonts w:ascii="Times New Roman" w:hAnsi="Times New Roman" w:eastAsia="Times New Roman"/>
                <w:b w:val="0"/>
                <w:sz w:val="22"/>
              </w:rPr>
              <w:t>{{ghi_chu_2}}</w:t>
            </w:r>
          </w:p>
        </w:tc>
      </w:tr>
      <w:tr>
        <w:tc>
          <w:tcPr>
            <w:tcW w:type="dxa" w:w="1268"/>
            <w:vAlign w:val="center"/>
          </w:tcPr>
          <w:p>
            <w:pPr>
              <w:jc w:val="center"/>
            </w:pPr>
            <w:r/>
            <w:r>
              <w:rPr>
                <w:rFonts w:ascii="Times New Roman" w:hAnsi="Times New Roman" w:eastAsia="Times New Roman"/>
                <w:b w:val="0"/>
                <w:sz w:val="22"/>
              </w:rPr>
              <w:t>3</w:t>
            </w:r>
          </w:p>
        </w:tc>
        <w:tc>
          <w:tcPr>
            <w:tcW w:type="dxa" w:w="1268"/>
            <w:vAlign w:val="center"/>
          </w:tcPr>
          <w:p>
            <w:r/>
            <w:r>
              <w:rPr>
                <w:rFonts w:ascii="Times New Roman" w:hAnsi="Times New Roman" w:eastAsia="Times New Roman"/>
                <w:b w:val="0"/>
                <w:sz w:val="22"/>
              </w:rPr>
              <w:t>{{ten_hang_muc_3}}</w:t>
            </w:r>
          </w:p>
        </w:tc>
        <w:tc>
          <w:tcPr>
            <w:tcW w:type="dxa" w:w="1268"/>
            <w:vAlign w:val="center"/>
          </w:tcPr>
          <w:p>
            <w:r/>
            <w:r>
              <w:rPr>
                <w:rFonts w:ascii="Times New Roman" w:hAnsi="Times New Roman" w:eastAsia="Times New Roman"/>
                <w:b w:val="0"/>
                <w:sz w:val="22"/>
              </w:rPr>
              <w:t>{{quy_cach_3}}</w:t>
            </w:r>
          </w:p>
        </w:tc>
        <w:tc>
          <w:tcPr>
            <w:tcW w:type="dxa" w:w="1268"/>
            <w:vAlign w:val="center"/>
          </w:tcPr>
          <w:p>
            <w:pPr>
              <w:jc w:val="center"/>
            </w:pPr>
            <w:r/>
            <w:r>
              <w:rPr>
                <w:rFonts w:ascii="Times New Roman" w:hAnsi="Times New Roman" w:eastAsia="Times New Roman"/>
                <w:b w:val="0"/>
                <w:sz w:val="22"/>
              </w:rPr>
              <w:t>{{dvt_3}}</w:t>
            </w:r>
          </w:p>
        </w:tc>
        <w:tc>
          <w:tcPr>
            <w:tcW w:type="dxa" w:w="1268"/>
            <w:vAlign w:val="center"/>
          </w:tcPr>
          <w:p>
            <w:pPr>
              <w:jc w:val="center"/>
            </w:pPr>
            <w:r/>
            <w:r>
              <w:rPr>
                <w:rFonts w:ascii="Times New Roman" w:hAnsi="Times New Roman" w:eastAsia="Times New Roman"/>
                <w:b w:val="0"/>
                <w:sz w:val="22"/>
              </w:rPr>
              <w:t>{{so_luong_3}}</w:t>
            </w:r>
          </w:p>
        </w:tc>
        <w:tc>
          <w:tcPr>
            <w:tcW w:type="dxa" w:w="1268"/>
            <w:vAlign w:val="center"/>
          </w:tcPr>
          <w:p>
            <w:pPr>
              <w:jc w:val="center"/>
            </w:pPr>
            <w:r/>
            <w:r>
              <w:rPr>
                <w:rFonts w:ascii="Times New Roman" w:hAnsi="Times New Roman" w:eastAsia="Times New Roman"/>
                <w:b w:val="0"/>
                <w:sz w:val="22"/>
              </w:rPr>
              <w:t>{{don_gia_3}}</w:t>
            </w:r>
          </w:p>
        </w:tc>
        <w:tc>
          <w:tcPr>
            <w:tcW w:type="dxa" w:w="1268"/>
            <w:vAlign w:val="center"/>
          </w:tcPr>
          <w:p>
            <w:pPr>
              <w:jc w:val="center"/>
            </w:pPr>
            <w:r/>
            <w:r>
              <w:rPr>
                <w:rFonts w:ascii="Times New Roman" w:hAnsi="Times New Roman" w:eastAsia="Times New Roman"/>
                <w:b w:val="0"/>
                <w:sz w:val="22"/>
              </w:rPr>
              <w:t>{{thanh_tien_3}}</w:t>
            </w:r>
          </w:p>
        </w:tc>
        <w:tc>
          <w:tcPr>
            <w:tcW w:type="dxa" w:w="1268"/>
            <w:vAlign w:val="center"/>
          </w:tcPr>
          <w:p>
            <w:r/>
            <w:r>
              <w:rPr>
                <w:rFonts w:ascii="Times New Roman" w:hAnsi="Times New Roman" w:eastAsia="Times New Roman"/>
                <w:b w:val="0"/>
                <w:sz w:val="22"/>
              </w:rPr>
              <w:t>{{ghi_chu_3}}</w:t>
            </w:r>
          </w:p>
        </w:tc>
      </w:tr>
    </w:tbl>
    <w:p>
      <w:r>
        <w:rPr>
          <w:rFonts w:ascii="Times New Roman" w:hAnsi="Times New Roman" w:eastAsia="Times New Roman"/>
          <w:b/>
          <w:i w:val="0"/>
          <w:sz w:val="22"/>
        </w:rPr>
        <w:t>Tổng giá trị hàng hóa: {{tong_truoc_vat}} VNĐ | VAT: {{vat_rate}}% | Tổng thanh toán: {{tong_thanh_toan}} VNĐ</w:t>
      </w:r>
    </w:p>
    <w:p>
      <w:pPr>
        <w:keepNext/>
        <w:spacing w:before="100"/>
      </w:pPr>
      <w:r>
        <w:rPr>
          <w:rFonts w:ascii="Times New Roman" w:hAnsi="Times New Roman" w:eastAsia="Times New Roman"/>
          <w:b/>
          <w:i w:val="0"/>
          <w:sz w:val="22"/>
        </w:rPr>
        <w:t>Điều 2. Chất lượng và tiêu chuẩn hàng hóa</w:t>
      </w:r>
    </w:p>
    <w:p>
      <w:r>
        <w:rPr>
          <w:rFonts w:ascii="Times New Roman" w:hAnsi="Times New Roman" w:eastAsia="Times New Roman"/>
          <w:b w:val="0"/>
          <w:i w:val="0"/>
          <w:sz w:val="22"/>
        </w:rPr>
        <w:t>1. Hàng hóa do Bên B cung cấp phải mới 100% nếu không có thỏa thuận khác; đúng chủng loại, thông số kỹ thuật, xuất xứ, tiêu chuẩn đã thỏa thuận và phù hợp với mục đích sử dụng đã được Bên A thông báo.</w:t>
      </w:r>
    </w:p>
    <w:p>
      <w:r>
        <w:rPr>
          <w:rFonts w:ascii="Times New Roman" w:hAnsi="Times New Roman" w:eastAsia="Times New Roman"/>
          <w:b w:val="0"/>
          <w:i w:val="0"/>
          <w:sz w:val="22"/>
        </w:rPr>
        <w:t>2. Tài liệu kỹ thuật, phiếu bảo hành, chứng nhận xuất xứ/chất lượng nếu có sẽ được bàn giao cùng hàng hóa hoặc theo thời hạn hai bên thỏa thuận.</w:t>
      </w:r>
    </w:p>
    <w:p>
      <w:r>
        <w:rPr>
          <w:rFonts w:ascii="Times New Roman" w:hAnsi="Times New Roman" w:eastAsia="Times New Roman"/>
          <w:b w:val="0"/>
          <w:i w:val="0"/>
          <w:sz w:val="22"/>
        </w:rPr>
        <w:t>3. Đối với hàng đặt riêng, thiết kế riêng hoặc nhập theo yêu cầu Bên A, thông số cuối cùng được xác định theo xác nhận bằng văn bản của Bên A trước khi đặt hàng/giao hàng.</w:t>
      </w:r>
    </w:p>
    <w:p>
      <w:pPr>
        <w:keepNext/>
        <w:spacing w:before="100"/>
      </w:pPr>
      <w:r>
        <w:rPr>
          <w:rFonts w:ascii="Times New Roman" w:hAnsi="Times New Roman" w:eastAsia="Times New Roman"/>
          <w:b/>
          <w:i w:val="0"/>
          <w:sz w:val="22"/>
        </w:rPr>
        <w:t>Điều 3. Giao hàng, địa điểm và chuyển giao rủi ro</w:t>
      </w:r>
    </w:p>
    <w:p>
      <w:r>
        <w:rPr>
          <w:rFonts w:ascii="Times New Roman" w:hAnsi="Times New Roman" w:eastAsia="Times New Roman"/>
          <w:b w:val="0"/>
          <w:i w:val="0"/>
          <w:sz w:val="22"/>
        </w:rPr>
        <w:t>1. Địa điểm giao hàng: {{dia_diem_giao_hang}}. Thời gian giao hàng: {{thoi_gian_giao_hang}}.</w:t>
      </w:r>
    </w:p>
    <w:p>
      <w:r>
        <w:rPr>
          <w:rFonts w:ascii="Times New Roman" w:hAnsi="Times New Roman" w:eastAsia="Times New Roman"/>
          <w:b w:val="0"/>
          <w:i w:val="0"/>
          <w:sz w:val="22"/>
        </w:rPr>
        <w:t>2. Phương thức giao hàng: {{phuong_thuc_giao_hang}}. Chi phí vận chuyển: {{ben_chiu_phi_van_chuyen}}.</w:t>
      </w:r>
    </w:p>
    <w:p>
      <w:r>
        <w:rPr>
          <w:rFonts w:ascii="Times New Roman" w:hAnsi="Times New Roman" w:eastAsia="Times New Roman"/>
          <w:b w:val="0"/>
          <w:i w:val="0"/>
          <w:sz w:val="22"/>
        </w:rPr>
        <w:t>3. Rủi ro đối với hàng hóa được chuyển giao khi hai bên ký biên bản giao nhận, phiếu giao hàng, phiếu xuất kho hoặc khi Bên A nhận hàng hợp lệ theo thỏa thuận.</w:t>
      </w:r>
    </w:p>
    <w:p>
      <w:pPr>
        <w:keepNext/>
        <w:spacing w:before="100"/>
      </w:pPr>
      <w:r>
        <w:rPr>
          <w:rFonts w:ascii="Times New Roman" w:hAnsi="Times New Roman" w:eastAsia="Times New Roman"/>
          <w:b/>
          <w:i w:val="0"/>
          <w:sz w:val="22"/>
        </w:rPr>
        <w:t>Điều 4. Kiểm tra, nghiệm thu và từ chối nhận hàng</w:t>
      </w:r>
    </w:p>
    <w:p>
      <w:r>
        <w:rPr>
          <w:rFonts w:ascii="Times New Roman" w:hAnsi="Times New Roman" w:eastAsia="Times New Roman"/>
          <w:b w:val="0"/>
          <w:i w:val="0"/>
          <w:sz w:val="22"/>
        </w:rPr>
        <w:t>1. Bên A kiểm tra số lượng, chủng loại, tình trạng bên ngoài của hàng hóa ngay khi nhận hàng.</w:t>
      </w:r>
    </w:p>
    <w:p>
      <w:r>
        <w:rPr>
          <w:rFonts w:ascii="Times New Roman" w:hAnsi="Times New Roman" w:eastAsia="Times New Roman"/>
          <w:b w:val="0"/>
          <w:i w:val="0"/>
          <w:sz w:val="22"/>
        </w:rPr>
        <w:t>2. Nếu phát hiện hàng hóa không đúng thỏa thuận, Bên A phải thông báo bằng văn bản cho Bên B trong thời hạn {{thoi_han_kiem_tra}} giờ/ngày. Quá thời hạn này mà không có phản hồi, hàng hóa được xem là đã được chấp nhận, trừ lỗi ẩn hoặc lỗi kỹ thuật thuộc phạm vi bảo hành.</w:t>
      </w:r>
    </w:p>
    <w:p>
      <w:r>
        <w:rPr>
          <w:rFonts w:ascii="Times New Roman" w:hAnsi="Times New Roman" w:eastAsia="Times New Roman"/>
          <w:b w:val="0"/>
          <w:i w:val="0"/>
          <w:sz w:val="22"/>
        </w:rPr>
        <w:t>3. Từ chối nhận hàng phải có lý do cụ thể và chứng cứ hợp lý.</w:t>
      </w:r>
    </w:p>
    <w:p>
      <w:pPr>
        <w:keepNext/>
        <w:spacing w:before="100"/>
      </w:pPr>
      <w:r>
        <w:rPr>
          <w:rFonts w:ascii="Times New Roman" w:hAnsi="Times New Roman" w:eastAsia="Times New Roman"/>
          <w:b/>
          <w:i w:val="0"/>
          <w:sz w:val="22"/>
        </w:rPr>
        <w:t>Điều 5. Giá cả, VAT và điều chỉnh giá</w:t>
      </w:r>
    </w:p>
    <w:p>
      <w:r>
        <w:rPr>
          <w:rFonts w:ascii="Times New Roman" w:hAnsi="Times New Roman" w:eastAsia="Times New Roman"/>
          <w:b w:val="0"/>
          <w:i w:val="0"/>
          <w:sz w:val="22"/>
        </w:rPr>
        <w:t>1. Đơn giá mua bán được xác định tại thời điểm ký báo giá/đơn hàng/phụ lục. Giá có thể đã bao gồm hoặc chưa bao gồm VAT theo nội dung thể hiện trên chứng từ.</w:t>
      </w:r>
    </w:p>
    <w:p>
      <w:r>
        <w:rPr>
          <w:rFonts w:ascii="Times New Roman" w:hAnsi="Times New Roman" w:eastAsia="Times New Roman"/>
          <w:b w:val="0"/>
          <w:i w:val="0"/>
          <w:sz w:val="22"/>
        </w:rPr>
        <w:t>2. Nếu có biến động lớn về thị trường, chi phí nhập hàng, chi phí vận chuyển, chính sách thuế hoặc yếu tố khách quan làm thay đổi giá thành, Bên B có quyền đề xuất điều chỉnh giá trước khi giao hàng. Điều chỉnh chỉ có hiệu lực khi Bên A chấp thuận bằng văn bản.</w:t>
      </w:r>
    </w:p>
    <w:p>
      <w:pPr>
        <w:keepNext/>
        <w:spacing w:before="100"/>
      </w:pPr>
      <w:r>
        <w:rPr>
          <w:rFonts w:ascii="Times New Roman" w:hAnsi="Times New Roman" w:eastAsia="Times New Roman"/>
          <w:b/>
          <w:i w:val="0"/>
          <w:sz w:val="22"/>
        </w:rPr>
        <w:t>Điều 6. Thanh toán và quyền tạm ngừng giao hàng</w:t>
      </w:r>
    </w:p>
    <w:p>
      <w:r>
        <w:rPr>
          <w:rFonts w:ascii="Times New Roman" w:hAnsi="Times New Roman" w:eastAsia="Times New Roman"/>
          <w:b w:val="0"/>
          <w:i w:val="0"/>
          <w:sz w:val="22"/>
        </w:rPr>
        <w:t>1. Bên A thanh toán bằng chuyển khoản, tiền mặt hoặc hình thức khác được hai bên xác nhận.</w:t>
      </w:r>
    </w:p>
    <w:p>
      <w:r>
        <w:rPr>
          <w:rFonts w:ascii="Times New Roman" w:hAnsi="Times New Roman" w:eastAsia="Times New Roman"/>
          <w:b w:val="0"/>
          <w:i w:val="0"/>
          <w:sz w:val="22"/>
        </w:rPr>
        <w:t>2. Tiến độ thanh toán: Đợt 1 {{dot_1_pct}}% trong {{dot_1_days}} ngày; Đợt 2 {{dot_2_pct}}% trong {{dot_2_days}} ngày; Đợt cuối {{dot_cuoi_pct}}% trong {{dot_cuoi_days}} ngày kể từ khi nhận đủ hồ sơ thanh toán hợp lệ.</w:t>
      </w:r>
    </w:p>
    <w:p>
      <w:r>
        <w:rPr>
          <w:rFonts w:ascii="Times New Roman" w:hAnsi="Times New Roman" w:eastAsia="Times New Roman"/>
          <w:b w:val="0"/>
          <w:i w:val="0"/>
          <w:sz w:val="22"/>
        </w:rPr>
        <w:t>3. Nếu Bên A chậm thanh toán, Bên B có quyền tạm ngừng giao hàng đợt tiếp theo, yêu cầu lãi/phí chậm trả, bồi thường chi phí phát sinh hợp lý và giữ quyền sở hữu đối với phần hàng hóa chưa thanh toán đầy đủ trong phạm vi pháp luật và thỏa thuận cho phép.</w:t>
      </w:r>
    </w:p>
    <w:p>
      <w:pPr>
        <w:keepNext/>
        <w:spacing w:before="100"/>
      </w:pPr>
      <w:r>
        <w:rPr>
          <w:rFonts w:ascii="Times New Roman" w:hAnsi="Times New Roman" w:eastAsia="Times New Roman"/>
          <w:b/>
          <w:i w:val="0"/>
          <w:sz w:val="22"/>
        </w:rPr>
        <w:t>Điều 7. Bảo hành</w:t>
      </w:r>
    </w:p>
    <w:p>
      <w:r>
        <w:rPr>
          <w:rFonts w:ascii="Times New Roman" w:hAnsi="Times New Roman" w:eastAsia="Times New Roman"/>
          <w:b w:val="0"/>
          <w:i w:val="0"/>
          <w:sz w:val="22"/>
        </w:rPr>
        <w:t>1. Thời hạn bảo hành: {{thoi_han_bao_hanh}} tháng, trừ khi có thỏa thuận khác.</w:t>
      </w:r>
    </w:p>
    <w:p>
      <w:r>
        <w:rPr>
          <w:rFonts w:ascii="Times New Roman" w:hAnsi="Times New Roman" w:eastAsia="Times New Roman"/>
          <w:b w:val="0"/>
          <w:i w:val="0"/>
          <w:sz w:val="22"/>
        </w:rPr>
        <w:t>2. Bên B bảo hành đối với lỗi kỹ thuật, lỗi nhà sản xuất hoặc lỗi thuộc trách nhiệm của Bên B.</w:t>
      </w:r>
    </w:p>
    <w:p>
      <w:r>
        <w:rPr>
          <w:rFonts w:ascii="Times New Roman" w:hAnsi="Times New Roman" w:eastAsia="Times New Roman"/>
          <w:b w:val="0"/>
          <w:i w:val="0"/>
          <w:sz w:val="22"/>
        </w:rPr>
        <w:t>3. Không bảo hành đối với lỗi do sử dụng sai hướng dẫn, tự ý sửa chữa/tháo lắp, tác động cơ học/hóa chất, cháy nổ, ngập nước, thiên tai, hao mòn tự nhiên hoặc lỗi do bên thứ ba.</w:t>
      </w:r>
    </w:p>
    <w:p>
      <w:pPr>
        <w:keepNext/>
        <w:spacing w:before="100"/>
      </w:pPr>
      <w:r>
        <w:rPr>
          <w:rFonts w:ascii="Times New Roman" w:hAnsi="Times New Roman" w:eastAsia="Times New Roman"/>
          <w:b/>
          <w:i w:val="0"/>
          <w:sz w:val="22"/>
        </w:rPr>
        <w:t>Điều 8. Quyền và nghĩa vụ của Bên A</w:t>
      </w:r>
    </w:p>
    <w:p>
      <w:r>
        <w:rPr>
          <w:rFonts w:ascii="Times New Roman" w:hAnsi="Times New Roman" w:eastAsia="Times New Roman"/>
          <w:b w:val="0"/>
          <w:i w:val="0"/>
          <w:sz w:val="22"/>
        </w:rPr>
        <w:t>1. Thanh toán đúng hạn, nhận hàng, phối hợp nghiệm thu và cung cấp thông tin nhận hàng chính xác.</w:t>
      </w:r>
    </w:p>
    <w:p>
      <w:r>
        <w:rPr>
          <w:rFonts w:ascii="Times New Roman" w:hAnsi="Times New Roman" w:eastAsia="Times New Roman"/>
          <w:b w:val="0"/>
          <w:i w:val="0"/>
          <w:sz w:val="22"/>
        </w:rPr>
        <w:t>2. Không từ chối nhận hàng vô lý khi hàng hóa đã đáp ứng thỏa thuận.</w:t>
      </w:r>
    </w:p>
    <w:p>
      <w:r>
        <w:rPr>
          <w:rFonts w:ascii="Times New Roman" w:hAnsi="Times New Roman" w:eastAsia="Times New Roman"/>
          <w:b w:val="0"/>
          <w:i w:val="0"/>
          <w:sz w:val="22"/>
        </w:rPr>
        <w:t>3. Thực hiện nghĩa vụ khác theo hợp đồng và các phụ lục liên quan.</w:t>
      </w:r>
    </w:p>
    <w:p>
      <w:pPr>
        <w:keepNext/>
        <w:spacing w:before="100"/>
      </w:pPr>
      <w:r>
        <w:rPr>
          <w:rFonts w:ascii="Times New Roman" w:hAnsi="Times New Roman" w:eastAsia="Times New Roman"/>
          <w:b/>
          <w:i w:val="0"/>
          <w:sz w:val="22"/>
        </w:rPr>
        <w:t>Điều 9. Quyền và nghĩa vụ của Bên B</w:t>
      </w:r>
    </w:p>
    <w:p>
      <w:r>
        <w:rPr>
          <w:rFonts w:ascii="Times New Roman" w:hAnsi="Times New Roman" w:eastAsia="Times New Roman"/>
          <w:b w:val="0"/>
          <w:i w:val="0"/>
          <w:sz w:val="22"/>
        </w:rPr>
        <w:t>1. Giao hàng đúng chất lượng, số lượng, chủng loại; cung cấp hóa đơn/chứng từ hợp lệ trong phạm vi thỏa thuận.</w:t>
      </w:r>
    </w:p>
    <w:p>
      <w:r>
        <w:rPr>
          <w:rFonts w:ascii="Times New Roman" w:hAnsi="Times New Roman" w:eastAsia="Times New Roman"/>
          <w:b w:val="0"/>
          <w:i w:val="0"/>
          <w:sz w:val="22"/>
        </w:rPr>
        <w:t>2. Hỗ trợ kiểm tra, hướng dẫn sử dụng và bảo hành theo cam kết.</w:t>
      </w:r>
    </w:p>
    <w:p>
      <w:r>
        <w:rPr>
          <w:rFonts w:ascii="Times New Roman" w:hAnsi="Times New Roman" w:eastAsia="Times New Roman"/>
          <w:b w:val="0"/>
          <w:i w:val="0"/>
          <w:sz w:val="22"/>
        </w:rPr>
        <w:t>3. Có quyền từ chối yêu cầu ngoài phạm vi hoặc phát sinh chưa được xác nhận.</w:t>
      </w:r>
    </w:p>
    <w:p>
      <w:pPr>
        <w:keepNext/>
        <w:spacing w:before="100"/>
      </w:pPr>
      <w:r>
        <w:rPr>
          <w:rFonts w:ascii="Times New Roman" w:hAnsi="Times New Roman" w:eastAsia="Times New Roman"/>
          <w:b/>
          <w:i w:val="0"/>
          <w:sz w:val="22"/>
        </w:rPr>
        <w:t>Điều 10. Phạt vi phạm và bồi thường</w:t>
      </w:r>
    </w:p>
    <w:p>
      <w:r>
        <w:rPr>
          <w:rFonts w:ascii="Times New Roman" w:hAnsi="Times New Roman" w:eastAsia="Times New Roman"/>
          <w:b w:val="0"/>
          <w:i w:val="0"/>
          <w:sz w:val="22"/>
        </w:rPr>
        <w:t>1. Bên vi phạm phải khắc phục, bồi thường thiệt hại thực tế, trực tiếp, hợp lý phát sinh.</w:t>
      </w:r>
    </w:p>
    <w:p>
      <w:r>
        <w:rPr>
          <w:rFonts w:ascii="Times New Roman" w:hAnsi="Times New Roman" w:eastAsia="Times New Roman"/>
          <w:b w:val="0"/>
          <w:i w:val="0"/>
          <w:sz w:val="22"/>
        </w:rPr>
        <w:t>2. Mức phạt vi phạm và phạm vi áp dụng theo thỏa thuận cụ thể, bảo đảm không trái quy định pháp luật.</w:t>
      </w:r>
    </w:p>
    <w:p>
      <w:pPr>
        <w:keepNext/>
        <w:spacing w:before="100"/>
      </w:pPr>
      <w:r>
        <w:rPr>
          <w:rFonts w:ascii="Times New Roman" w:hAnsi="Times New Roman" w:eastAsia="Times New Roman"/>
          <w:b/>
          <w:i w:val="0"/>
          <w:sz w:val="22"/>
        </w:rPr>
        <w:t>Điều 11. Chính sách thuế, hóa đơn và chứng từ</w:t>
      </w:r>
    </w:p>
    <w:p>
      <w:r>
        <w:rPr>
          <w:rFonts w:ascii="Times New Roman" w:hAnsi="Times New Roman" w:eastAsia="Times New Roman"/>
          <w:b w:val="0"/>
          <w:i w:val="0"/>
          <w:sz w:val="22"/>
        </w:rPr>
        <w:t>1. Thuế VAT, hóa đơn, chứng từ điện tử và các nghĩa vụ tài chính được thực hiện theo quy định pháp luật hiện hành và theo thông tin thể hiện trên báo giá/phụ lục/hóa đơn của từng giao dịch.</w:t>
      </w:r>
    </w:p>
    <w:p>
      <w:r>
        <w:rPr>
          <w:rFonts w:ascii="Times New Roman" w:hAnsi="Times New Roman" w:eastAsia="Times New Roman"/>
          <w:b w:val="0"/>
          <w:i w:val="0"/>
          <w:sz w:val="22"/>
        </w:rPr>
        <w:t>2. Trường hợp chính sách thuế, phí, lệ phí, hóa đơn hoặc quy định quản lý nhà nước thay đổi làm ảnh hưởng đến giá trị, hồ sơ hoặc thời điểm thực hiện, hai bên sẽ phối hợp điều chỉnh chứng từ và nghĩa vụ liên quan trên cơ sở văn bản pháp luật có hiệu lực tại thời điểm phát sinh.</w:t>
      </w:r>
    </w:p>
    <w:p>
      <w:r>
        <w:rPr>
          <w:rFonts w:ascii="Times New Roman" w:hAnsi="Times New Roman" w:eastAsia="Times New Roman"/>
          <w:b w:val="0"/>
          <w:i w:val="0"/>
          <w:sz w:val="22"/>
        </w:rPr>
        <w:t>3. Bên A có trách nhiệm cung cấp thông tin xuất hóa đơn chính xác trước thời điểm Bên B lập hóa đơn. Trường hợp thông tin sai do Bên A cung cấp, chi phí điều chỉnh/hủy/thay thế hóa đơn, nếu có, do Bên A chịu.</w:t>
      </w:r>
    </w:p>
    <w:p>
      <w:pPr>
        <w:keepNext/>
        <w:spacing w:before="100"/>
      </w:pPr>
      <w:r>
        <w:rPr>
          <w:rFonts w:ascii="Times New Roman" w:hAnsi="Times New Roman" w:eastAsia="Times New Roman"/>
          <w:b/>
          <w:i w:val="0"/>
          <w:sz w:val="22"/>
        </w:rPr>
        <w:t>Điều 12. Bảo mật thông tin và dữ liệu hồ sơ</w:t>
      </w:r>
    </w:p>
    <w:p>
      <w:r>
        <w:rPr>
          <w:rFonts w:ascii="Times New Roman" w:hAnsi="Times New Roman" w:eastAsia="Times New Roman"/>
          <w:b w:val="0"/>
          <w:i w:val="0"/>
          <w:sz w:val="22"/>
        </w:rPr>
        <w:t>1. Mọi thông tin về giá, bản vẽ, quy trình kỹ thuật, danh sách khách hàng, hồ sơ công trình, hình ảnh hiện trường, tài liệu nội bộ và thông tin kinh doanh của mỗi bên được xem là thông tin bảo mật, trừ khi thông tin đã công khai hợp pháp.</w:t>
      </w:r>
    </w:p>
    <w:p>
      <w:r>
        <w:rPr>
          <w:rFonts w:ascii="Times New Roman" w:hAnsi="Times New Roman" w:eastAsia="Times New Roman"/>
          <w:b w:val="0"/>
          <w:i w:val="0"/>
          <w:sz w:val="22"/>
        </w:rPr>
        <w:t>2. Các bên không được tiết lộ thông tin bảo mật cho bên thứ ba nếu không có sự đồng ý bằng văn bản của bên còn lại, trừ trường hợp cung cấp cho cơ quan nhà nước có thẩm quyền hoặc đơn vị tư vấn/hỗ trợ có nghĩa vụ bảo mật tương đương.</w:t>
      </w:r>
    </w:p>
    <w:p>
      <w:r>
        <w:rPr>
          <w:rFonts w:ascii="Times New Roman" w:hAnsi="Times New Roman" w:eastAsia="Times New Roman"/>
          <w:b w:val="0"/>
          <w:i w:val="0"/>
          <w:sz w:val="22"/>
        </w:rPr>
        <w:t>3. Nghĩa vụ bảo mật tiếp tục có hiệu lực trong vòng 24 tháng sau khi hợp đồng chấm dứt, trừ khi pháp luật yêu cầu thời hạn dài hơn.</w:t>
      </w:r>
    </w:p>
    <w:p>
      <w:pPr>
        <w:keepNext/>
        <w:spacing w:before="100"/>
      </w:pPr>
      <w:r>
        <w:rPr>
          <w:rFonts w:ascii="Times New Roman" w:hAnsi="Times New Roman" w:eastAsia="Times New Roman"/>
          <w:b/>
          <w:i w:val="0"/>
          <w:sz w:val="22"/>
        </w:rPr>
        <w:t>Điều 13. Tuân thủ pháp luật, chống hối lộ và xung đột lợi ích</w:t>
      </w:r>
    </w:p>
    <w:p>
      <w:r>
        <w:rPr>
          <w:rFonts w:ascii="Times New Roman" w:hAnsi="Times New Roman" w:eastAsia="Times New Roman"/>
          <w:b w:val="0"/>
          <w:i w:val="0"/>
          <w:sz w:val="22"/>
        </w:rPr>
        <w:t>1. Hai bên cam kết tuân thủ pháp luật, không thực hiện hành vi hối lộ, thông đồng, gian lận, cạnh tranh không lành mạnh hoặc lợi dụng hợp đồng để thực hiện giao dịch trái pháp luật.</w:t>
      </w:r>
    </w:p>
    <w:p>
      <w:r>
        <w:rPr>
          <w:rFonts w:ascii="Times New Roman" w:hAnsi="Times New Roman" w:eastAsia="Times New Roman"/>
          <w:b w:val="0"/>
          <w:i w:val="0"/>
          <w:sz w:val="22"/>
        </w:rPr>
        <w:t>2. Mọi khoản chiết khấu, hoa hồng, hỗ trợ, phí bên thứ ba nếu có phải được ghi nhận minh bạch bằng văn bản hoặc chứng từ hợp lệ theo chính sách nội bộ và quy định pháp luật.</w:t>
      </w:r>
    </w:p>
    <w:p>
      <w:r>
        <w:rPr>
          <w:rFonts w:ascii="Times New Roman" w:hAnsi="Times New Roman" w:eastAsia="Times New Roman"/>
          <w:b w:val="0"/>
          <w:i w:val="0"/>
          <w:sz w:val="22"/>
        </w:rPr>
        <w:t>3. Bên nào phát hiện nguy cơ xung đột lợi ích hoặc yêu cầu không phù hợp phải thông báo cho bên còn lại để xử lý trước khi tiếp tục thực hiện.</w:t>
      </w:r>
    </w:p>
    <w:p>
      <w:pPr>
        <w:keepNext/>
        <w:spacing w:before="100"/>
      </w:pPr>
      <w:r>
        <w:rPr>
          <w:rFonts w:ascii="Times New Roman" w:hAnsi="Times New Roman" w:eastAsia="Times New Roman"/>
          <w:b/>
          <w:i w:val="0"/>
          <w:sz w:val="22"/>
        </w:rPr>
        <w:t>Điều 14. Trao đổi điện tử, thông báo và lưu trữ hồ sơ</w:t>
      </w:r>
    </w:p>
    <w:p>
      <w:r>
        <w:rPr>
          <w:rFonts w:ascii="Times New Roman" w:hAnsi="Times New Roman" w:eastAsia="Times New Roman"/>
          <w:b w:val="0"/>
          <w:i w:val="0"/>
          <w:sz w:val="22"/>
        </w:rPr>
        <w:t>1. Thông báo, xác nhận, yêu cầu phát sinh, chấp thuận báo giá, xác nhận lịch thi công hoặc các trao đổi nghiệp vụ qua email, tin nhắn, hệ thống quản lý công việc hoặc văn bản điện tử được xem là căn cứ tham chiếu nếu xác định được người gửi, thời điểm gửi và nội dung trao đổi.</w:t>
      </w:r>
    </w:p>
    <w:p>
      <w:r>
        <w:rPr>
          <w:rFonts w:ascii="Times New Roman" w:hAnsi="Times New Roman" w:eastAsia="Times New Roman"/>
          <w:b w:val="0"/>
          <w:i w:val="0"/>
          <w:sz w:val="22"/>
        </w:rPr>
        <w:t>2. Các văn bản cần ký/đóng dấu như hợp đồng, phụ lục, nghiệm thu, quyết toán, đối chiếu công nợ và hồ sơ thanh toán sẽ thực hiện theo hình thức bản giấy hoặc bản điện tử có giá trị pháp lý tương đương nếu hai bên thống nhất.</w:t>
      </w:r>
    </w:p>
    <w:p>
      <w:r>
        <w:rPr>
          <w:rFonts w:ascii="Times New Roman" w:hAnsi="Times New Roman" w:eastAsia="Times New Roman"/>
          <w:b w:val="0"/>
          <w:i w:val="0"/>
          <w:sz w:val="22"/>
        </w:rPr>
        <w:t>3. Hồ sơ, hình ảnh, thông tin kỹ thuật, thông tin người liên hệ và dữ liệu giao dịch được thu thập chỉ nhằm mục đích thực hiện hợp đồng, quản lý bảo hành, bảo trì, thanh toán, đối chiếu công nợ và lưu trữ hồ sơ theo quy định.</w:t>
      </w:r>
    </w:p>
    <w:p>
      <w:r>
        <w:rPr>
          <w:rFonts w:ascii="Times New Roman" w:hAnsi="Times New Roman" w:eastAsia="Times New Roman"/>
          <w:b w:val="0"/>
          <w:i w:val="0"/>
          <w:sz w:val="22"/>
        </w:rPr>
        <w:t>4. Bên B được phép lưu trữ hồ sơ giao dịch trong hệ thống quản trị nội bộ để phục vụ truy xuất chứng từ, bảo hành, bảo trì, kiểm toán nội bộ và xử lý tranh chấp nếu có.</w:t>
      </w:r>
    </w:p>
    <w:p>
      <w:pPr>
        <w:keepNext/>
        <w:spacing w:before="100"/>
      </w:pPr>
      <w:r>
        <w:rPr>
          <w:rFonts w:ascii="Times New Roman" w:hAnsi="Times New Roman" w:eastAsia="Times New Roman"/>
          <w:b/>
          <w:i w:val="0"/>
          <w:sz w:val="22"/>
        </w:rPr>
        <w:t>Điều 15. Tạm ngừng, hủy bỏ, chấm dứt hợp đồng</w:t>
      </w:r>
    </w:p>
    <w:p>
      <w:r>
        <w:rPr>
          <w:rFonts w:ascii="Times New Roman" w:hAnsi="Times New Roman" w:eastAsia="Times New Roman"/>
          <w:b w:val="0"/>
          <w:i w:val="0"/>
          <w:sz w:val="22"/>
        </w:rPr>
        <w:t>1. Bên B có quyền tạm ngừng giao hàng hoặc chấm dứt hợp đồng nếu Bên A chậm thanh toán hoặc vi phạm nghiêm trọng.</w:t>
      </w:r>
    </w:p>
    <w:p>
      <w:r>
        <w:rPr>
          <w:rFonts w:ascii="Times New Roman" w:hAnsi="Times New Roman" w:eastAsia="Times New Roman"/>
          <w:b w:val="0"/>
          <w:i w:val="0"/>
          <w:sz w:val="22"/>
        </w:rPr>
        <w:t>2. Bên A có quyền tạm ngừng nhận hàng hoặc chấm dứt hợp đồng nếu Bên B giao hàng sai nghiêm trọng và không khắc phục trong thời hạn hợp lý.</w:t>
      </w:r>
    </w:p>
    <w:p>
      <w:r>
        <w:rPr>
          <w:rFonts w:ascii="Times New Roman" w:hAnsi="Times New Roman" w:eastAsia="Times New Roman"/>
          <w:b w:val="0"/>
          <w:i w:val="0"/>
          <w:sz w:val="22"/>
        </w:rPr>
        <w:t>3. Việc chấm dứt phải thông báo bằng văn bản; các nghĩa vụ thanh toán, bảo hành, bảo mật và bồi thường đã phát sinh vẫn tiếp tục có hiệu lực.</w:t>
      </w:r>
    </w:p>
    <w:p>
      <w:pPr>
        <w:keepNext/>
        <w:spacing w:before="100"/>
      </w:pPr>
      <w:r>
        <w:rPr>
          <w:rFonts w:ascii="Times New Roman" w:hAnsi="Times New Roman" w:eastAsia="Times New Roman"/>
          <w:b/>
          <w:i w:val="0"/>
          <w:sz w:val="22"/>
        </w:rPr>
        <w:t>Điều 16. Giải quyết tranh chấp và hiệu lực</w:t>
      </w:r>
    </w:p>
    <w:p>
      <w:r>
        <w:rPr>
          <w:rFonts w:ascii="Times New Roman" w:hAnsi="Times New Roman" w:eastAsia="Times New Roman"/>
          <w:b w:val="0"/>
          <w:i w:val="0"/>
          <w:sz w:val="22"/>
        </w:rPr>
        <w:t>1. Tranh chấp được ưu tiên thương lượng. Nếu không giải quyết được, tranh chấp sẽ được đưa ra Tòa án có thẩm quyền theo quy định pháp luật.</w:t>
      </w:r>
    </w:p>
    <w:p>
      <w:r>
        <w:rPr>
          <w:rFonts w:ascii="Times New Roman" w:hAnsi="Times New Roman" w:eastAsia="Times New Roman"/>
          <w:b w:val="0"/>
          <w:i w:val="0"/>
          <w:sz w:val="22"/>
        </w:rPr>
        <w:t>2. Hợp đồng có hiệu lực kể từ ngày ký và được lập thành 02 bản, mỗi bên giữ 01 bản có giá trị pháp lý như nhau.</w:t>
      </w:r>
    </w:p>
    <w:p>
      <w:r>
        <w:rPr>
          <w:rFonts w:ascii="Times New Roman" w:hAnsi="Times New Roman" w:eastAsia="Times New Roman"/>
          <w:b w:val="0"/>
          <w:i w:val="0"/>
          <w:sz w:val="22"/>
        </w:rPr>
      </w:r>
    </w:p>
    <w:tbl>
      <w:tblPr>
        <w:tblStyle w:val="TableGrid"/>
        <w:tblW w:type="auto" w:w="0"/>
        <w:tblLook w:firstColumn="1" w:firstRow="1" w:lastColumn="0" w:lastRow="0" w:noHBand="0" w:noVBand="1" w:val="04A0"/>
      </w:tblPr>
      <w:tblGrid>
        <w:gridCol w:w="5071"/>
        <w:gridCol w:w="5071"/>
      </w:tblGrid>
      <w:tr>
        <w:tc>
          <w:tcPr>
            <w:tcW w:type="dxa" w:w="5071"/>
            <w:vAlign w:val="center"/>
            <w:shd w:fill="D9EAF7"/>
          </w:tcPr>
          <w:p>
            <w:pPr>
              <w:jc w:val="center"/>
            </w:pPr>
            <w:r/>
            <w:r>
              <w:rPr>
                <w:rFonts w:ascii="Times New Roman" w:hAnsi="Times New Roman" w:eastAsia="Times New Roman"/>
                <w:b/>
                <w:sz w:val="22"/>
              </w:rPr>
              <w:t>ĐẠI DIỆN BÊN A</w:t>
              <w:br/>
              <w:t>(Ký, ghi rõ họ tên, chức vụ, đóng dấu)</w:t>
            </w:r>
          </w:p>
        </w:tc>
        <w:tc>
          <w:tcPr>
            <w:tcW w:type="dxa" w:w="5071"/>
            <w:vAlign w:val="center"/>
            <w:shd w:fill="D9EAF7"/>
          </w:tcPr>
          <w:p>
            <w:pPr>
              <w:jc w:val="center"/>
            </w:pPr>
            <w:r/>
            <w:r>
              <w:rPr>
                <w:rFonts w:ascii="Times New Roman" w:hAnsi="Times New Roman" w:eastAsia="Times New Roman"/>
                <w:b/>
                <w:sz w:val="22"/>
              </w:rPr>
              <w:t>ĐẠI DIỆN BÊN B</w:t>
              <w:br/>
              <w:t>(Ký, ghi rõ họ tên, chức vụ, đóng dấu)</w:t>
            </w:r>
          </w:p>
        </w:tc>
      </w:tr>
      <w:tr>
        <w:tc>
          <w:tcPr>
            <w:tcW w:type="dxa" w:w="5071"/>
            <w:vAlign w:val="center"/>
          </w:tcPr>
          <w:p>
            <w:pPr>
              <w:jc w:val="center"/>
            </w:pPr>
            <w:r/>
            <w:r>
              <w:rPr>
                <w:rFonts w:ascii="Times New Roman" w:hAnsi="Times New Roman" w:eastAsia="Times New Roman"/>
                <w:b/>
                <w:sz w:val="22"/>
              </w:rPr>
              <w:br/>
              <w:br/>
              <w:br/>
              <w:br/>
              <w:br/>
              <w:t>{{ben_a_nguoi_ky}}</w:t>
            </w:r>
          </w:p>
        </w:tc>
        <w:tc>
          <w:tcPr>
            <w:tcW w:type="dxa" w:w="5071"/>
            <w:vAlign w:val="center"/>
          </w:tcPr>
          <w:p>
            <w:pPr>
              <w:jc w:val="center"/>
            </w:pPr>
            <w:r/>
            <w:r>
              <w:rPr>
                <w:rFonts w:ascii="Times New Roman" w:hAnsi="Times New Roman" w:eastAsia="Times New Roman"/>
                <w:b/>
                <w:sz w:val="22"/>
              </w:rPr>
              <w:br/>
              <w:br/>
              <w:br/>
              <w:br/>
              <w:br/>
              <w:t>{{ben_b_nguoi_ky}}</w:t>
            </w:r>
          </w:p>
        </w:tc>
      </w:tr>
    </w:tbl>
    <w:sectPr w:rsidR="00FC693F" w:rsidRPr="0006063C" w:rsidSect="00034616">
      <w:headerReference w:type="default" r:id="rId9"/>
      <w:footerReference w:type="default" r:id="rId10"/>
      <w:pgSz w:w="12240" w:h="15840"/>
      <w:pgMar w:top="964" w:right="96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 xml:space="preserve">Trang </w:t>
    </w:r>
    <w:fldSimple w:instr="PAGE"/>
    <w:r>
      <w:rPr>
        <w:rFonts w:ascii="Times New Roman" w:hAnsi="Times New Roman"/>
        <w:color w:val="646464"/>
        <w:sz w:val="18"/>
      </w:rPr>
      <w:t xml:space="preserve"> | THANH HOÀI Contract Template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sz w:val="18"/>
      </w:rPr>
      <w:t>THANH HOÀI ERP - BỘ MẪU HỢP ĐỒNG</w:t>
    </w:r>
  </w:p>
  <w:p>
    <w:pPr>
      <w:jc w:val="center"/>
    </w:pPr>
    <w:r>
      <w:rPr>
        <w:rFonts w:ascii="Times New Roman" w:hAnsi="Times New Roman"/>
        <w:color w:val="5A5A5A"/>
        <w:sz w:val="16"/>
      </w:rPr>
      <w:t>HỢP ĐỒNG MUA BÁN HÀNG HÓA | Mã mẫu: HDMB-TH-v1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