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CỘNG HÒA XÃ HỘI CHỦ NGHĨA VIỆT NAM</w:t>
      </w:r>
    </w:p>
    <w:p>
      <w:pPr>
        <w:jc w:val="center"/>
      </w:pPr>
      <w:r>
        <w:rPr>
          <w:rFonts w:ascii="Times New Roman" w:hAnsi="Times New Roman" w:eastAsia="Times New Roman"/>
          <w:b/>
          <w:i w:val="0"/>
          <w:sz w:val="22"/>
        </w:rPr>
        <w:t>Độc lập - Tự do - Hạnh phúc</w:t>
      </w:r>
    </w:p>
    <w:p>
      <w:pPr>
        <w:jc w:val="center"/>
      </w:pPr>
      <w:r>
        <w:rPr>
          <w:rFonts w:ascii="Times New Roman" w:hAnsi="Times New Roman" w:eastAsia="Times New Roman"/>
          <w:b w:val="0"/>
          <w:i w:val="0"/>
          <w:sz w:val="22"/>
        </w:rPr>
        <w:t>---o0o---</w:t>
      </w:r>
    </w:p>
    <w:p>
      <w:pPr>
        <w:jc w:val="center"/>
      </w:pPr>
      <w:r>
        <w:rPr>
          <w:rFonts w:ascii="Times New Roman" w:hAnsi="Times New Roman" w:eastAsia="Times New Roman"/>
          <w:b/>
          <w:i w:val="0"/>
          <w:sz w:val="32"/>
        </w:rPr>
        <w:t>HỢP ĐỒNG KINH TẾ</w:t>
      </w:r>
    </w:p>
    <w:p>
      <w:pPr>
        <w:jc w:val="center"/>
      </w:pPr>
      <w:r>
        <w:rPr>
          <w:rFonts w:ascii="Times New Roman" w:hAnsi="Times New Roman" w:eastAsia="Times New Roman"/>
          <w:b/>
          <w:i w:val="0"/>
          <w:sz w:val="22"/>
        </w:rPr>
        <w:t>Số: {{so_hop_dong}}/HĐKT/TH</w:t>
      </w:r>
    </w:p>
    <w:p>
      <w:r>
        <w:rPr>
          <w:rFonts w:ascii="Times New Roman" w:hAnsi="Times New Roman" w:eastAsia="Times New Roman"/>
          <w:b w:val="0"/>
          <w:i/>
          <w:sz w:val="22"/>
        </w:rPr>
        <w:t>Hôm nay, ngày {{ngay}} tháng {{thang}} năm {{nam}}, tại {{dia_diem_ky}}, chúng tôi gồm:</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BÊN A - KHÁCH HÀNG / ĐỐI TÁC</w:t>
            </w:r>
          </w:p>
        </w:tc>
        <w:tc>
          <w:tcPr>
            <w:tcW w:type="dxa" w:w="5071"/>
            <w:vAlign w:val="center"/>
            <w:shd w:fill="D9EAF7"/>
          </w:tcPr>
          <w:p>
            <w:pPr>
              <w:jc w:val="center"/>
            </w:pPr>
            <w:r/>
            <w:r>
              <w:rPr>
                <w:rFonts w:ascii="Times New Roman" w:hAnsi="Times New Roman" w:eastAsia="Times New Roman"/>
                <w:b/>
                <w:sz w:val="22"/>
              </w:rPr>
              <w:t>BÊN B - THANH HOÀI</w:t>
            </w:r>
          </w:p>
        </w:tc>
      </w:tr>
      <w:tr>
        <w:tc>
          <w:tcPr>
            <w:tcW w:type="dxa" w:w="5071"/>
            <w:vAlign w:val="center"/>
          </w:tcPr>
          <w:p>
            <w:r/>
            <w:r>
              <w:rPr>
                <w:rFonts w:ascii="Times New Roman" w:hAnsi="Times New Roman" w:eastAsia="Times New Roman"/>
                <w:b w:val="0"/>
                <w:sz w:val="22"/>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071"/>
            <w:vAlign w:val="center"/>
          </w:tcPr>
          <w:p>
            <w:r/>
            <w:r>
              <w:rPr>
                <w:rFonts w:ascii="Times New Roman" w:hAnsi="Times New Roman" w:eastAsia="Times New Roman"/>
                <w:b w:val="0"/>
                <w:sz w:val="22"/>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r>
        <w:rPr>
          <w:rFonts w:ascii="Times New Roman" w:hAnsi="Times New Roman" w:eastAsia="Times New Roman"/>
          <w:b w:val="0"/>
          <w:i w:val="0"/>
          <w:sz w:val="22"/>
        </w:rPr>
        <w:t>Sau khi bàn bạc trên tinh thần thiện chí, trung thực và cùng có lợi, hai bên thống nhất ký kết hợp đồng với các điều khoản sau:</w:t>
      </w:r>
    </w:p>
    <w:p>
      <w:pPr>
        <w:keepNext/>
        <w:spacing w:before="100"/>
      </w:pPr>
      <w:r>
        <w:rPr>
          <w:rFonts w:ascii="Times New Roman" w:hAnsi="Times New Roman" w:eastAsia="Times New Roman"/>
          <w:b/>
          <w:i w:val="0"/>
          <w:sz w:val="22"/>
        </w:rPr>
        <w:t>Điều 1. Nội dung hợp đồng</w:t>
      </w:r>
    </w:p>
    <w:p>
      <w:r>
        <w:rPr>
          <w:rFonts w:ascii="Times New Roman" w:hAnsi="Times New Roman" w:eastAsia="Times New Roman"/>
          <w:b w:val="0"/>
          <w:i w:val="0"/>
          <w:sz w:val="22"/>
        </w:rPr>
        <w:t>1. Bên B cung cấp cho Bên A các hàng hóa, dịch vụ, công việc sau: {{noi_dung_hop_dong}}.</w:t>
      </w:r>
    </w:p>
    <w:p>
      <w:r>
        <w:rPr>
          <w:rFonts w:ascii="Times New Roman" w:hAnsi="Times New Roman" w:eastAsia="Times New Roman"/>
          <w:b w:val="0"/>
          <w:i w:val="0"/>
          <w:sz w:val="22"/>
        </w:rPr>
        <w:t>2. Chi tiết về phạm vi công việc, số lượng, đơn giá, tiến độ, chất lượng và hồ sơ bàn giao được quy định tại bảng dưới đây, báo giá, phụ lục và tài liệu kèm theo.</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c>
          <w:tcPr>
            <w:tcW w:type="dxa" w:w="1268"/>
            <w:vAlign w:val="center"/>
            <w:shd w:fill="D9EAF7"/>
          </w:tcPr>
          <w:p>
            <w:pPr>
              <w:jc w:val="center"/>
            </w:pPr>
            <w:r/>
            <w:r>
              <w:rPr>
                <w:rFonts w:ascii="Times New Roman" w:hAnsi="Times New Roman" w:eastAsia="Times New Roman"/>
                <w:b/>
                <w:sz w:val="22"/>
              </w:rPr>
              <w:t>STT</w:t>
            </w:r>
          </w:p>
        </w:tc>
        <w:tc>
          <w:tcPr>
            <w:tcW w:type="dxa" w:w="1268"/>
            <w:vAlign w:val="center"/>
            <w:shd w:fill="D9EAF7"/>
          </w:tcPr>
          <w:p>
            <w:pPr>
              <w:jc w:val="center"/>
            </w:pPr>
            <w:r/>
            <w:r>
              <w:rPr>
                <w:rFonts w:ascii="Times New Roman" w:hAnsi="Times New Roman" w:eastAsia="Times New Roman"/>
                <w:b/>
                <w:sz w:val="22"/>
              </w:rPr>
              <w:t>Tên hàng hóa / hạng mục</w:t>
            </w:r>
          </w:p>
        </w:tc>
        <w:tc>
          <w:tcPr>
            <w:tcW w:type="dxa" w:w="1268"/>
            <w:vAlign w:val="center"/>
            <w:shd w:fill="D9EAF7"/>
          </w:tcPr>
          <w:p>
            <w:pPr>
              <w:jc w:val="center"/>
            </w:pPr>
            <w:r/>
            <w:r>
              <w:rPr>
                <w:rFonts w:ascii="Times New Roman" w:hAnsi="Times New Roman" w:eastAsia="Times New Roman"/>
                <w:b/>
                <w:sz w:val="22"/>
              </w:rPr>
              <w:t>Quy cách / Model</w:t>
            </w:r>
          </w:p>
        </w:tc>
        <w:tc>
          <w:tcPr>
            <w:tcW w:type="dxa" w:w="1268"/>
            <w:vAlign w:val="center"/>
            <w:shd w:fill="D9EAF7"/>
          </w:tcPr>
          <w:p>
            <w:pPr>
              <w:jc w:val="center"/>
            </w:pPr>
            <w:r/>
            <w:r>
              <w:rPr>
                <w:rFonts w:ascii="Times New Roman" w:hAnsi="Times New Roman" w:eastAsia="Times New Roman"/>
                <w:b/>
                <w:sz w:val="22"/>
              </w:rPr>
              <w:t>ĐVT</w:t>
            </w:r>
          </w:p>
        </w:tc>
        <w:tc>
          <w:tcPr>
            <w:tcW w:type="dxa" w:w="1268"/>
            <w:vAlign w:val="center"/>
            <w:shd w:fill="D9EAF7"/>
          </w:tcPr>
          <w:p>
            <w:pPr>
              <w:jc w:val="center"/>
            </w:pPr>
            <w:r/>
            <w:r>
              <w:rPr>
                <w:rFonts w:ascii="Times New Roman" w:hAnsi="Times New Roman" w:eastAsia="Times New Roman"/>
                <w:b/>
                <w:sz w:val="22"/>
              </w:rPr>
              <w:t>Số lượng</w:t>
            </w:r>
          </w:p>
        </w:tc>
        <w:tc>
          <w:tcPr>
            <w:tcW w:type="dxa" w:w="1268"/>
            <w:vAlign w:val="center"/>
            <w:shd w:fill="D9EAF7"/>
          </w:tcPr>
          <w:p>
            <w:pPr>
              <w:jc w:val="center"/>
            </w:pPr>
            <w:r/>
            <w:r>
              <w:rPr>
                <w:rFonts w:ascii="Times New Roman" w:hAnsi="Times New Roman" w:eastAsia="Times New Roman"/>
                <w:b/>
                <w:sz w:val="22"/>
              </w:rPr>
              <w:t>Đơn giá</w:t>
            </w:r>
          </w:p>
        </w:tc>
        <w:tc>
          <w:tcPr>
            <w:tcW w:type="dxa" w:w="1268"/>
            <w:vAlign w:val="center"/>
            <w:shd w:fill="D9EAF7"/>
          </w:tcPr>
          <w:p>
            <w:pPr>
              <w:jc w:val="center"/>
            </w:pPr>
            <w:r/>
            <w:r>
              <w:rPr>
                <w:rFonts w:ascii="Times New Roman" w:hAnsi="Times New Roman" w:eastAsia="Times New Roman"/>
                <w:b/>
                <w:sz w:val="22"/>
              </w:rPr>
              <w:t>Thành tiền</w:t>
            </w:r>
          </w:p>
        </w:tc>
        <w:tc>
          <w:tcPr>
            <w:tcW w:type="dxa" w:w="1268"/>
            <w:vAlign w:val="center"/>
            <w:shd w:fill="D9EAF7"/>
          </w:tcPr>
          <w:p>
            <w:pPr>
              <w:jc w:val="center"/>
            </w:pPr>
            <w:r/>
            <w:r>
              <w:rPr>
                <w:rFonts w:ascii="Times New Roman" w:hAnsi="Times New Roman" w:eastAsia="Times New Roman"/>
                <w:b/>
                <w:sz w:val="22"/>
              </w:rPr>
              <w:t>Ghi chú</w:t>
            </w:r>
          </w:p>
        </w:tc>
      </w:tr>
      <w:tr>
        <w:tc>
          <w:tcPr>
            <w:tcW w:type="dxa" w:w="1268"/>
            <w:vAlign w:val="center"/>
          </w:tcPr>
          <w:p>
            <w:pPr>
              <w:jc w:val="center"/>
            </w:pPr>
            <w:r/>
            <w:r>
              <w:rPr>
                <w:rFonts w:ascii="Times New Roman" w:hAnsi="Times New Roman" w:eastAsia="Times New Roman"/>
                <w:b w:val="0"/>
                <w:sz w:val="22"/>
              </w:rPr>
              <w:t>1</w:t>
            </w:r>
          </w:p>
        </w:tc>
        <w:tc>
          <w:tcPr>
            <w:tcW w:type="dxa" w:w="1268"/>
            <w:vAlign w:val="center"/>
          </w:tcPr>
          <w:p>
            <w:r/>
            <w:r>
              <w:rPr>
                <w:rFonts w:ascii="Times New Roman" w:hAnsi="Times New Roman" w:eastAsia="Times New Roman"/>
                <w:b w:val="0"/>
                <w:sz w:val="22"/>
              </w:rPr>
              <w:t>{{ten_hang_muc_1}}</w:t>
            </w:r>
          </w:p>
        </w:tc>
        <w:tc>
          <w:tcPr>
            <w:tcW w:type="dxa" w:w="1268"/>
            <w:vAlign w:val="center"/>
          </w:tcPr>
          <w:p>
            <w:r/>
            <w:r>
              <w:rPr>
                <w:rFonts w:ascii="Times New Roman" w:hAnsi="Times New Roman" w:eastAsia="Times New Roman"/>
                <w:b w:val="0"/>
                <w:sz w:val="22"/>
              </w:rPr>
              <w:t>{{quy_cach_1}}</w:t>
            </w:r>
          </w:p>
        </w:tc>
        <w:tc>
          <w:tcPr>
            <w:tcW w:type="dxa" w:w="1268"/>
            <w:vAlign w:val="center"/>
          </w:tcPr>
          <w:p>
            <w:pPr>
              <w:jc w:val="center"/>
            </w:pPr>
            <w:r/>
            <w:r>
              <w:rPr>
                <w:rFonts w:ascii="Times New Roman" w:hAnsi="Times New Roman" w:eastAsia="Times New Roman"/>
                <w:b w:val="0"/>
                <w:sz w:val="22"/>
              </w:rPr>
              <w:t>{{dvt_1}}</w:t>
            </w:r>
          </w:p>
        </w:tc>
        <w:tc>
          <w:tcPr>
            <w:tcW w:type="dxa" w:w="1268"/>
            <w:vAlign w:val="center"/>
          </w:tcPr>
          <w:p>
            <w:pPr>
              <w:jc w:val="center"/>
            </w:pPr>
            <w:r/>
            <w:r>
              <w:rPr>
                <w:rFonts w:ascii="Times New Roman" w:hAnsi="Times New Roman" w:eastAsia="Times New Roman"/>
                <w:b w:val="0"/>
                <w:sz w:val="22"/>
              </w:rPr>
              <w:t>{{so_luong_1}}</w:t>
            </w:r>
          </w:p>
        </w:tc>
        <w:tc>
          <w:tcPr>
            <w:tcW w:type="dxa" w:w="1268"/>
            <w:vAlign w:val="center"/>
          </w:tcPr>
          <w:p>
            <w:pPr>
              <w:jc w:val="center"/>
            </w:pPr>
            <w:r/>
            <w:r>
              <w:rPr>
                <w:rFonts w:ascii="Times New Roman" w:hAnsi="Times New Roman" w:eastAsia="Times New Roman"/>
                <w:b w:val="0"/>
                <w:sz w:val="22"/>
              </w:rPr>
              <w:t>{{don_gia_1}}</w:t>
            </w:r>
          </w:p>
        </w:tc>
        <w:tc>
          <w:tcPr>
            <w:tcW w:type="dxa" w:w="1268"/>
            <w:vAlign w:val="center"/>
          </w:tcPr>
          <w:p>
            <w:pPr>
              <w:jc w:val="center"/>
            </w:pPr>
            <w:r/>
            <w:r>
              <w:rPr>
                <w:rFonts w:ascii="Times New Roman" w:hAnsi="Times New Roman" w:eastAsia="Times New Roman"/>
                <w:b w:val="0"/>
                <w:sz w:val="22"/>
              </w:rPr>
              <w:t>{{thanh_tien_1}}</w:t>
            </w:r>
          </w:p>
        </w:tc>
        <w:tc>
          <w:tcPr>
            <w:tcW w:type="dxa" w:w="1268"/>
            <w:vAlign w:val="center"/>
          </w:tcPr>
          <w:p>
            <w:r/>
            <w:r>
              <w:rPr>
                <w:rFonts w:ascii="Times New Roman" w:hAnsi="Times New Roman" w:eastAsia="Times New Roman"/>
                <w:b w:val="0"/>
                <w:sz w:val="22"/>
              </w:rPr>
              <w:t>{{ghi_chu_1}}</w:t>
            </w:r>
          </w:p>
        </w:tc>
      </w:tr>
      <w:tr>
        <w:tc>
          <w:tcPr>
            <w:tcW w:type="dxa" w:w="1268"/>
            <w:vAlign w:val="center"/>
          </w:tcPr>
          <w:p>
            <w:pPr>
              <w:jc w:val="center"/>
            </w:pPr>
            <w:r/>
            <w:r>
              <w:rPr>
                <w:rFonts w:ascii="Times New Roman" w:hAnsi="Times New Roman" w:eastAsia="Times New Roman"/>
                <w:b w:val="0"/>
                <w:sz w:val="22"/>
              </w:rPr>
              <w:t>2</w:t>
            </w:r>
          </w:p>
        </w:tc>
        <w:tc>
          <w:tcPr>
            <w:tcW w:type="dxa" w:w="1268"/>
            <w:vAlign w:val="center"/>
          </w:tcPr>
          <w:p>
            <w:r/>
            <w:r>
              <w:rPr>
                <w:rFonts w:ascii="Times New Roman" w:hAnsi="Times New Roman" w:eastAsia="Times New Roman"/>
                <w:b w:val="0"/>
                <w:sz w:val="22"/>
              </w:rPr>
              <w:t>{{ten_hang_muc_2}}</w:t>
            </w:r>
          </w:p>
        </w:tc>
        <w:tc>
          <w:tcPr>
            <w:tcW w:type="dxa" w:w="1268"/>
            <w:vAlign w:val="center"/>
          </w:tcPr>
          <w:p>
            <w:r/>
            <w:r>
              <w:rPr>
                <w:rFonts w:ascii="Times New Roman" w:hAnsi="Times New Roman" w:eastAsia="Times New Roman"/>
                <w:b w:val="0"/>
                <w:sz w:val="22"/>
              </w:rPr>
              <w:t>{{quy_cach_2}}</w:t>
            </w:r>
          </w:p>
        </w:tc>
        <w:tc>
          <w:tcPr>
            <w:tcW w:type="dxa" w:w="1268"/>
            <w:vAlign w:val="center"/>
          </w:tcPr>
          <w:p>
            <w:pPr>
              <w:jc w:val="center"/>
            </w:pPr>
            <w:r/>
            <w:r>
              <w:rPr>
                <w:rFonts w:ascii="Times New Roman" w:hAnsi="Times New Roman" w:eastAsia="Times New Roman"/>
                <w:b w:val="0"/>
                <w:sz w:val="22"/>
              </w:rPr>
              <w:t>{{dvt_2}}</w:t>
            </w:r>
          </w:p>
        </w:tc>
        <w:tc>
          <w:tcPr>
            <w:tcW w:type="dxa" w:w="1268"/>
            <w:vAlign w:val="center"/>
          </w:tcPr>
          <w:p>
            <w:pPr>
              <w:jc w:val="center"/>
            </w:pPr>
            <w:r/>
            <w:r>
              <w:rPr>
                <w:rFonts w:ascii="Times New Roman" w:hAnsi="Times New Roman" w:eastAsia="Times New Roman"/>
                <w:b w:val="0"/>
                <w:sz w:val="22"/>
              </w:rPr>
              <w:t>{{so_luong_2}}</w:t>
            </w:r>
          </w:p>
        </w:tc>
        <w:tc>
          <w:tcPr>
            <w:tcW w:type="dxa" w:w="1268"/>
            <w:vAlign w:val="center"/>
          </w:tcPr>
          <w:p>
            <w:pPr>
              <w:jc w:val="center"/>
            </w:pPr>
            <w:r/>
            <w:r>
              <w:rPr>
                <w:rFonts w:ascii="Times New Roman" w:hAnsi="Times New Roman" w:eastAsia="Times New Roman"/>
                <w:b w:val="0"/>
                <w:sz w:val="22"/>
              </w:rPr>
              <w:t>{{don_gia_2}}</w:t>
            </w:r>
          </w:p>
        </w:tc>
        <w:tc>
          <w:tcPr>
            <w:tcW w:type="dxa" w:w="1268"/>
            <w:vAlign w:val="center"/>
          </w:tcPr>
          <w:p>
            <w:pPr>
              <w:jc w:val="center"/>
            </w:pPr>
            <w:r/>
            <w:r>
              <w:rPr>
                <w:rFonts w:ascii="Times New Roman" w:hAnsi="Times New Roman" w:eastAsia="Times New Roman"/>
                <w:b w:val="0"/>
                <w:sz w:val="22"/>
              </w:rPr>
              <w:t>{{thanh_tien_2}}</w:t>
            </w:r>
          </w:p>
        </w:tc>
        <w:tc>
          <w:tcPr>
            <w:tcW w:type="dxa" w:w="1268"/>
            <w:vAlign w:val="center"/>
          </w:tcPr>
          <w:p>
            <w:r/>
            <w:r>
              <w:rPr>
                <w:rFonts w:ascii="Times New Roman" w:hAnsi="Times New Roman" w:eastAsia="Times New Roman"/>
                <w:b w:val="0"/>
                <w:sz w:val="22"/>
              </w:rPr>
              <w:t>{{ghi_chu_2}}</w:t>
            </w:r>
          </w:p>
        </w:tc>
      </w:tr>
      <w:tr>
        <w:tc>
          <w:tcPr>
            <w:tcW w:type="dxa" w:w="1268"/>
            <w:vAlign w:val="center"/>
          </w:tcPr>
          <w:p>
            <w:pPr>
              <w:jc w:val="center"/>
            </w:pPr>
            <w:r/>
            <w:r>
              <w:rPr>
                <w:rFonts w:ascii="Times New Roman" w:hAnsi="Times New Roman" w:eastAsia="Times New Roman"/>
                <w:b w:val="0"/>
                <w:sz w:val="22"/>
              </w:rPr>
              <w:t>3</w:t>
            </w:r>
          </w:p>
        </w:tc>
        <w:tc>
          <w:tcPr>
            <w:tcW w:type="dxa" w:w="1268"/>
            <w:vAlign w:val="center"/>
          </w:tcPr>
          <w:p>
            <w:r/>
            <w:r>
              <w:rPr>
                <w:rFonts w:ascii="Times New Roman" w:hAnsi="Times New Roman" w:eastAsia="Times New Roman"/>
                <w:b w:val="0"/>
                <w:sz w:val="22"/>
              </w:rPr>
              <w:t>{{ten_hang_muc_3}}</w:t>
            </w:r>
          </w:p>
        </w:tc>
        <w:tc>
          <w:tcPr>
            <w:tcW w:type="dxa" w:w="1268"/>
            <w:vAlign w:val="center"/>
          </w:tcPr>
          <w:p>
            <w:r/>
            <w:r>
              <w:rPr>
                <w:rFonts w:ascii="Times New Roman" w:hAnsi="Times New Roman" w:eastAsia="Times New Roman"/>
                <w:b w:val="0"/>
                <w:sz w:val="22"/>
              </w:rPr>
              <w:t>{{quy_cach_3}}</w:t>
            </w:r>
          </w:p>
        </w:tc>
        <w:tc>
          <w:tcPr>
            <w:tcW w:type="dxa" w:w="1268"/>
            <w:vAlign w:val="center"/>
          </w:tcPr>
          <w:p>
            <w:pPr>
              <w:jc w:val="center"/>
            </w:pPr>
            <w:r/>
            <w:r>
              <w:rPr>
                <w:rFonts w:ascii="Times New Roman" w:hAnsi="Times New Roman" w:eastAsia="Times New Roman"/>
                <w:b w:val="0"/>
                <w:sz w:val="22"/>
              </w:rPr>
              <w:t>{{dvt_3}}</w:t>
            </w:r>
          </w:p>
        </w:tc>
        <w:tc>
          <w:tcPr>
            <w:tcW w:type="dxa" w:w="1268"/>
            <w:vAlign w:val="center"/>
          </w:tcPr>
          <w:p>
            <w:pPr>
              <w:jc w:val="center"/>
            </w:pPr>
            <w:r/>
            <w:r>
              <w:rPr>
                <w:rFonts w:ascii="Times New Roman" w:hAnsi="Times New Roman" w:eastAsia="Times New Roman"/>
                <w:b w:val="0"/>
                <w:sz w:val="22"/>
              </w:rPr>
              <w:t>{{so_luong_3}}</w:t>
            </w:r>
          </w:p>
        </w:tc>
        <w:tc>
          <w:tcPr>
            <w:tcW w:type="dxa" w:w="1268"/>
            <w:vAlign w:val="center"/>
          </w:tcPr>
          <w:p>
            <w:pPr>
              <w:jc w:val="center"/>
            </w:pPr>
            <w:r/>
            <w:r>
              <w:rPr>
                <w:rFonts w:ascii="Times New Roman" w:hAnsi="Times New Roman" w:eastAsia="Times New Roman"/>
                <w:b w:val="0"/>
                <w:sz w:val="22"/>
              </w:rPr>
              <w:t>{{don_gia_3}}</w:t>
            </w:r>
          </w:p>
        </w:tc>
        <w:tc>
          <w:tcPr>
            <w:tcW w:type="dxa" w:w="1268"/>
            <w:vAlign w:val="center"/>
          </w:tcPr>
          <w:p>
            <w:pPr>
              <w:jc w:val="center"/>
            </w:pPr>
            <w:r/>
            <w:r>
              <w:rPr>
                <w:rFonts w:ascii="Times New Roman" w:hAnsi="Times New Roman" w:eastAsia="Times New Roman"/>
                <w:b w:val="0"/>
                <w:sz w:val="22"/>
              </w:rPr>
              <w:t>{{thanh_tien_3}}</w:t>
            </w:r>
          </w:p>
        </w:tc>
        <w:tc>
          <w:tcPr>
            <w:tcW w:type="dxa" w:w="1268"/>
            <w:vAlign w:val="center"/>
          </w:tcPr>
          <w:p>
            <w:r/>
            <w:r>
              <w:rPr>
                <w:rFonts w:ascii="Times New Roman" w:hAnsi="Times New Roman" w:eastAsia="Times New Roman"/>
                <w:b w:val="0"/>
                <w:sz w:val="22"/>
              </w:rPr>
              <w:t>{{ghi_chu_3}}</w:t>
            </w:r>
          </w:p>
        </w:tc>
      </w:tr>
    </w:tbl>
    <w:p>
      <w:pPr>
        <w:keepNext/>
        <w:spacing w:before="100"/>
      </w:pPr>
      <w:r>
        <w:rPr>
          <w:rFonts w:ascii="Times New Roman" w:hAnsi="Times New Roman" w:eastAsia="Times New Roman"/>
          <w:b/>
          <w:i w:val="0"/>
          <w:sz w:val="22"/>
        </w:rPr>
        <w:t>Điều 2. Giá trị hợp đồng</w:t>
      </w:r>
    </w:p>
    <w:p>
      <w:r>
        <w:rPr>
          <w:rFonts w:ascii="Times New Roman" w:hAnsi="Times New Roman" w:eastAsia="Times New Roman"/>
          <w:b w:val="0"/>
          <w:i w:val="0"/>
          <w:sz w:val="22"/>
        </w:rPr>
        <w:t>1. Giá trị tạm tính/chốt của hợp đồng: {{gia_tri_hop_dong}} VNĐ; VAT: {{vat_rate}}%; Tổng thanh toán: {{tong_thanh_toan}} VNĐ.</w:t>
      </w:r>
    </w:p>
    <w:p>
      <w:r>
        <w:rPr>
          <w:rFonts w:ascii="Times New Roman" w:hAnsi="Times New Roman" w:eastAsia="Times New Roman"/>
          <w:b w:val="0"/>
          <w:i w:val="0"/>
          <w:sz w:val="22"/>
        </w:rPr>
        <w:t>2. Phát sinh ngoài phạm vi hợp đồng phải lập xác nhận phát sinh riêng trước khi thực hiện, trừ trường hợp khẩn cấp cần xử lý để bảo đảm an toàn hoặc hạn chế thiệt hại.</w:t>
      </w:r>
    </w:p>
    <w:p>
      <w:pPr>
        <w:keepNext/>
        <w:spacing w:before="100"/>
      </w:pPr>
      <w:r>
        <w:rPr>
          <w:rFonts w:ascii="Times New Roman" w:hAnsi="Times New Roman" w:eastAsia="Times New Roman"/>
          <w:b/>
          <w:i w:val="0"/>
          <w:sz w:val="22"/>
        </w:rPr>
        <w:t>Điều 3. Tổ chức thực hiện</w:t>
      </w:r>
    </w:p>
    <w:p>
      <w:r>
        <w:rPr>
          <w:rFonts w:ascii="Times New Roman" w:hAnsi="Times New Roman" w:eastAsia="Times New Roman"/>
          <w:b w:val="0"/>
          <w:i w:val="0"/>
          <w:sz w:val="22"/>
        </w:rPr>
        <w:t>1. Bên B tổ chức thực hiện đúng tiến độ và chất lượng đã thỏa thuận. Bên A phối hợp cung cấp thông tin, phê duyệt, bàn giao mặt bằng, nhận hàng, nghiệm thu và thanh toán.</w:t>
      </w:r>
    </w:p>
    <w:p>
      <w:r>
        <w:rPr>
          <w:rFonts w:ascii="Times New Roman" w:hAnsi="Times New Roman" w:eastAsia="Times New Roman"/>
          <w:b w:val="0"/>
          <w:i w:val="0"/>
          <w:sz w:val="22"/>
        </w:rPr>
        <w:t>2. Thay đổi phạm vi, khối lượng, vật tư, tiến độ hoặc điều kiện hiện trường phải được xác nhận bằng văn bản/email hợp lệ.</w:t>
      </w:r>
    </w:p>
    <w:p>
      <w:pPr>
        <w:keepNext/>
        <w:spacing w:before="100"/>
      </w:pPr>
      <w:r>
        <w:rPr>
          <w:rFonts w:ascii="Times New Roman" w:hAnsi="Times New Roman" w:eastAsia="Times New Roman"/>
          <w:b/>
          <w:i w:val="0"/>
          <w:sz w:val="22"/>
        </w:rPr>
        <w:t>Điều 4. Thanh toán</w:t>
      </w:r>
    </w:p>
    <w:p>
      <w:r>
        <w:rPr>
          <w:rFonts w:ascii="Times New Roman" w:hAnsi="Times New Roman" w:eastAsia="Times New Roman"/>
          <w:b w:val="0"/>
          <w:i w:val="0"/>
          <w:sz w:val="22"/>
        </w:rPr>
        <w:t>1. Phương thức thanh toán: chuyển khoản hoặc hình thức khác theo thỏa thuận.</w:t>
      </w:r>
    </w:p>
    <w:p>
      <w:r>
        <w:rPr>
          <w:rFonts w:ascii="Times New Roman" w:hAnsi="Times New Roman" w:eastAsia="Times New Roman"/>
          <w:b w:val="0"/>
          <w:i w:val="0"/>
          <w:sz w:val="22"/>
        </w:rPr>
        <w:t>2. Tỷ lệ thanh toán: Đợt 1 {{dot_1_pct}}%; Đợt 2 {{dot_2_pct}}%; Đợt 3 {{dot_3_pct}}%; Đợt cuối {{dot_cuoi_pct}}% theo thời hạn ghi tại hợp đồng/phụ lục.</w:t>
      </w:r>
    </w:p>
    <w:p>
      <w:r>
        <w:rPr>
          <w:rFonts w:ascii="Times New Roman" w:hAnsi="Times New Roman" w:eastAsia="Times New Roman"/>
          <w:b w:val="0"/>
          <w:i w:val="0"/>
          <w:sz w:val="22"/>
        </w:rPr>
        <w:t>3. Nếu Bên A chậm thanh toán, Bên B có quyền tạm ngừng cung cấp dịch vụ/giao hàng/thi công, yêu cầu bồi thường chi phí phát sinh và áp dụng lãi chậm trả theo thỏa thuận, nếu có căn cứ.</w:t>
      </w:r>
    </w:p>
    <w:p>
      <w:pPr>
        <w:keepNext/>
        <w:spacing w:before="100"/>
      </w:pPr>
      <w:r>
        <w:rPr>
          <w:rFonts w:ascii="Times New Roman" w:hAnsi="Times New Roman" w:eastAsia="Times New Roman"/>
          <w:b/>
          <w:i w:val="0"/>
          <w:sz w:val="22"/>
        </w:rPr>
        <w:t>Điều 5. Hồ sơ nghiệm thu, thanh toán</w:t>
      </w:r>
    </w:p>
    <w:p>
      <w:r>
        <w:rPr>
          <w:rFonts w:ascii="Times New Roman" w:hAnsi="Times New Roman" w:eastAsia="Times New Roman"/>
          <w:b w:val="0"/>
          <w:i w:val="0"/>
          <w:sz w:val="22"/>
        </w:rPr>
        <w:t>1. Hồ sơ có thể gồm biên bản nghiệm thu, biên bản bàn giao, bảng xác nhận khối lượng, hóa đơn VAT, phiếu giao hàng, phiếu xuất kho, tài liệu kỹ thuật và chứng từ khác theo yêu cầu hợp lý.</w:t>
      </w:r>
    </w:p>
    <w:p>
      <w:r>
        <w:rPr>
          <w:rFonts w:ascii="Times New Roman" w:hAnsi="Times New Roman" w:eastAsia="Times New Roman"/>
          <w:b w:val="0"/>
          <w:i w:val="0"/>
          <w:sz w:val="22"/>
        </w:rPr>
        <w:t>2. Nếu Bên A đã nhận và sử dụng dịch vụ/hàng hóa mà không có ý kiến bằng văn bản trong thời hạn {{so_ngay_phan_hoi}} ngày, kết quả được xem là đã được chấp nhận, trừ trường hợp lỗi phát sinh được chứng minh hợp lệ.</w:t>
      </w:r>
    </w:p>
    <w:p>
      <w:pPr>
        <w:keepNext/>
        <w:spacing w:before="100"/>
      </w:pPr>
      <w:r>
        <w:rPr>
          <w:rFonts w:ascii="Times New Roman" w:hAnsi="Times New Roman" w:eastAsia="Times New Roman"/>
          <w:b/>
          <w:i w:val="0"/>
          <w:sz w:val="22"/>
        </w:rPr>
        <w:t>Điều 6. Chất lượng, bảo hành và giới hạn phạm vi</w:t>
      </w:r>
    </w:p>
    <w:p>
      <w:r>
        <w:rPr>
          <w:rFonts w:ascii="Times New Roman" w:hAnsi="Times New Roman" w:eastAsia="Times New Roman"/>
          <w:b w:val="0"/>
          <w:i w:val="0"/>
          <w:sz w:val="22"/>
        </w:rPr>
        <w:t>1. Bên B cam kết chất lượng hàng hóa/dịch vụ/công việc theo thỏa thuận. Thời hạn bảo hành: {{thoi_han_bao_hanh}} tháng hoặc theo tiêu chuẩn nhà sản xuất.</w:t>
      </w:r>
    </w:p>
    <w:p>
      <w:r>
        <w:rPr>
          <w:rFonts w:ascii="Times New Roman" w:hAnsi="Times New Roman" w:eastAsia="Times New Roman"/>
          <w:b w:val="0"/>
          <w:i w:val="0"/>
          <w:sz w:val="22"/>
        </w:rPr>
        <w:t>2. Không bảo hành đối với sử dụng sai, bên thứ ba can thiệp, thiên tai, hỏa hoạn, ngập nước, sự cố điện, hao mòn tự nhiên hoặc lỗi ngoài phạm vi trách nhiệm của Bên B.</w:t>
      </w:r>
    </w:p>
    <w:p>
      <w:pPr>
        <w:keepNext/>
        <w:spacing w:before="100"/>
      </w:pPr>
      <w:r>
        <w:rPr>
          <w:rFonts w:ascii="Times New Roman" w:hAnsi="Times New Roman" w:eastAsia="Times New Roman"/>
          <w:b/>
          <w:i w:val="0"/>
          <w:sz w:val="22"/>
        </w:rPr>
        <w:t>Điều 7. Phạt vi phạm và bồi thường thiệt hại</w:t>
      </w:r>
    </w:p>
    <w:p>
      <w:r>
        <w:rPr>
          <w:rFonts w:ascii="Times New Roman" w:hAnsi="Times New Roman" w:eastAsia="Times New Roman"/>
          <w:b w:val="0"/>
          <w:i w:val="0"/>
          <w:sz w:val="22"/>
        </w:rPr>
        <w:t>1. Bên vi phạm phải bồi thường thiệt hại thực tế, trực tiếp, hợp lý phát sinh. Mức phạt vi phạm áp dụng theo thỏa thuận cụ thể và không trái pháp luật.</w:t>
      </w:r>
    </w:p>
    <w:p>
      <w:r>
        <w:rPr>
          <w:rFonts w:ascii="Times New Roman" w:hAnsi="Times New Roman" w:eastAsia="Times New Roman"/>
          <w:b w:val="0"/>
          <w:i w:val="0"/>
          <w:sz w:val="22"/>
        </w:rPr>
        <w:t>2. Việc phạt vi phạm không loại trừ nghĩa vụ bồi thường nếu có căn cứ.</w:t>
      </w:r>
    </w:p>
    <w:p>
      <w:pPr>
        <w:keepNext/>
        <w:spacing w:before="100"/>
      </w:pPr>
      <w:r>
        <w:rPr>
          <w:rFonts w:ascii="Times New Roman" w:hAnsi="Times New Roman" w:eastAsia="Times New Roman"/>
          <w:b/>
          <w:i w:val="0"/>
          <w:sz w:val="22"/>
        </w:rPr>
        <w:t>Điều 8. Bất khả kháng</w:t>
      </w:r>
    </w:p>
    <w:p>
      <w:r>
        <w:rPr>
          <w:rFonts w:ascii="Times New Roman" w:hAnsi="Times New Roman" w:eastAsia="Times New Roman"/>
          <w:b w:val="0"/>
          <w:i w:val="0"/>
          <w:sz w:val="22"/>
        </w:rPr>
        <w:t>Sự kiện bất khả kháng là sự kiện khách quan, không thể lường trước và không thể khắc phục dù đã áp dụng biện pháp cần thiết. Bên bị ảnh hưởng phải thông báo sớm và phối hợp giảm thiểu thiệt hại.</w:t>
      </w:r>
    </w:p>
    <w:p>
      <w:pPr>
        <w:keepNext/>
        <w:spacing w:before="100"/>
      </w:pPr>
      <w:r>
        <w:rPr>
          <w:rFonts w:ascii="Times New Roman" w:hAnsi="Times New Roman" w:eastAsia="Times New Roman"/>
          <w:b/>
          <w:i w:val="0"/>
          <w:sz w:val="22"/>
        </w:rPr>
        <w:t>Điều 9. Chính sách thuế, hóa đơn và chứng từ</w:t>
      </w:r>
    </w:p>
    <w:p>
      <w:r>
        <w:rPr>
          <w:rFonts w:ascii="Times New Roman" w:hAnsi="Times New Roman" w:eastAsia="Times New Roman"/>
          <w:b w:val="0"/>
          <w:i w:val="0"/>
          <w:sz w:val="22"/>
        </w:rPr>
        <w:t>1. Thuế VAT, hóa đơn, chứng từ điện tử và các nghĩa vụ tài chính được thực hiện theo quy định pháp luật hiện hành và theo thông tin thể hiện trên báo giá/phụ lục/hóa đơn của từng giao dịch.</w:t>
      </w:r>
    </w:p>
    <w:p>
      <w:r>
        <w:rPr>
          <w:rFonts w:ascii="Times New Roman" w:hAnsi="Times New Roman" w:eastAsia="Times New Roman"/>
          <w:b w:val="0"/>
          <w:i w:val="0"/>
          <w:sz w:val="22"/>
        </w:rPr>
        <w:t>2. Trường hợp chính sách thuế, phí, lệ phí, hóa đơn hoặc quy định quản lý nhà nước thay đổi làm ảnh hưởng đến giá trị, hồ sơ hoặc thời điểm thực hiện, hai bên sẽ phối hợp điều chỉnh chứng từ và nghĩa vụ liên quan trên cơ sở văn bản pháp luật có hiệu lực tại thời điểm phát sinh.</w:t>
      </w:r>
    </w:p>
    <w:p>
      <w:r>
        <w:rPr>
          <w:rFonts w:ascii="Times New Roman" w:hAnsi="Times New Roman" w:eastAsia="Times New Roman"/>
          <w:b w:val="0"/>
          <w:i w:val="0"/>
          <w:sz w:val="22"/>
        </w:rPr>
        <w:t>3. Bên A có trách nhiệm cung cấp thông tin xuất hóa đơn chính xác trước thời điểm Bên B lập hóa đơn. Trường hợp thông tin sai do Bên A cung cấp, chi phí điều chỉnh/hủy/thay thế hóa đơn, nếu có, do Bên A chịu.</w:t>
      </w:r>
    </w:p>
    <w:p>
      <w:pPr>
        <w:keepNext/>
        <w:spacing w:before="100"/>
      </w:pPr>
      <w:r>
        <w:rPr>
          <w:rFonts w:ascii="Times New Roman" w:hAnsi="Times New Roman" w:eastAsia="Times New Roman"/>
          <w:b/>
          <w:i w:val="0"/>
          <w:sz w:val="22"/>
        </w:rPr>
        <w:t>Điều 10. Bảo mật thông tin và dữ liệu hồ sơ</w:t>
      </w:r>
    </w:p>
    <w:p>
      <w:r>
        <w:rPr>
          <w:rFonts w:ascii="Times New Roman" w:hAnsi="Times New Roman" w:eastAsia="Times New Roman"/>
          <w:b w:val="0"/>
          <w:i w:val="0"/>
          <w:sz w:val="22"/>
        </w:rPr>
        <w:t>1. Mọi thông tin về giá, bản vẽ, quy trình kỹ thuật, danh sách khách hàng, hồ sơ công trình, hình ảnh hiện trường, tài liệu nội bộ và thông tin kinh doanh của mỗi bên được xem là thông tin bảo mật, trừ khi thông tin đã công khai hợp pháp.</w:t>
      </w:r>
    </w:p>
    <w:p>
      <w:r>
        <w:rPr>
          <w:rFonts w:ascii="Times New Roman" w:hAnsi="Times New Roman" w:eastAsia="Times New Roman"/>
          <w:b w:val="0"/>
          <w:i w:val="0"/>
          <w:sz w:val="22"/>
        </w:rPr>
        <w:t>2. 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r>
        <w:rPr>
          <w:rFonts w:ascii="Times New Roman" w:hAnsi="Times New Roman" w:eastAsia="Times New Roman"/>
          <w:b w:val="0"/>
          <w:i w:val="0"/>
          <w:sz w:val="22"/>
        </w:rPr>
        <w:t>3. Nghĩa vụ bảo mật tiếp tục có hiệu lực trong vòng 24 tháng sau khi hợp đồng chấm dứt, trừ khi pháp luật yêu cầu thời hạn dài hơn.</w:t>
      </w:r>
    </w:p>
    <w:p>
      <w:pPr>
        <w:keepNext/>
        <w:spacing w:before="100"/>
      </w:pPr>
      <w:r>
        <w:rPr>
          <w:rFonts w:ascii="Times New Roman" w:hAnsi="Times New Roman" w:eastAsia="Times New Roman"/>
          <w:b/>
          <w:i w:val="0"/>
          <w:sz w:val="22"/>
        </w:rPr>
        <w:t>Điều 11. Tuân thủ pháp luật, chống hối lộ và xung đột lợi ích</w:t>
      </w:r>
    </w:p>
    <w:p>
      <w:r>
        <w:rPr>
          <w:rFonts w:ascii="Times New Roman" w:hAnsi="Times New Roman" w:eastAsia="Times New Roman"/>
          <w:b w:val="0"/>
          <w:i w:val="0"/>
          <w:sz w:val="22"/>
        </w:rPr>
        <w:t>1. Hai bên cam kết tuân thủ pháp luật, không thực hiện hành vi hối lộ, thông đồng, gian lận, cạnh tranh không lành mạnh hoặc lợi dụng hợp đồng để thực hiện giao dịch trái pháp luật.</w:t>
      </w:r>
    </w:p>
    <w:p>
      <w:r>
        <w:rPr>
          <w:rFonts w:ascii="Times New Roman" w:hAnsi="Times New Roman" w:eastAsia="Times New Roman"/>
          <w:b w:val="0"/>
          <w:i w:val="0"/>
          <w:sz w:val="22"/>
        </w:rPr>
        <w:t>2. Mọi khoản chiết khấu, hoa hồng, hỗ trợ, phí bên thứ ba nếu có phải được ghi nhận minh bạch bằng văn bản hoặc chứng từ hợp lệ theo chính sách nội bộ và quy định pháp luật.</w:t>
      </w:r>
    </w:p>
    <w:p>
      <w:r>
        <w:rPr>
          <w:rFonts w:ascii="Times New Roman" w:hAnsi="Times New Roman" w:eastAsia="Times New Roman"/>
          <w:b w:val="0"/>
          <w:i w:val="0"/>
          <w:sz w:val="22"/>
        </w:rPr>
        <w:t>3. Bên nào phát hiện nguy cơ xung đột lợi ích hoặc yêu cầu không phù hợp phải thông báo cho bên còn lại để xử lý trước khi tiếp tục thực hiện.</w:t>
      </w:r>
    </w:p>
    <w:p>
      <w:pPr>
        <w:keepNext/>
        <w:spacing w:before="100"/>
      </w:pPr>
      <w:r>
        <w:rPr>
          <w:rFonts w:ascii="Times New Roman" w:hAnsi="Times New Roman" w:eastAsia="Times New Roman"/>
          <w:b/>
          <w:i w:val="0"/>
          <w:sz w:val="22"/>
        </w:rPr>
        <w:t>Điều 12. Trao đổi điện tử, thông báo và lưu trữ hồ sơ</w:t>
      </w:r>
    </w:p>
    <w:p>
      <w:r>
        <w:rPr>
          <w:rFonts w:ascii="Times New Roman" w:hAnsi="Times New Roman" w:eastAsia="Times New Roman"/>
          <w:b w:val="0"/>
          <w:i w:val="0"/>
          <w:sz w:val="22"/>
        </w:rPr>
        <w:t>1. Thông báo, xác nhận, yêu cầu phát sinh, chấp thuận báo giá, xác nhận lịch thi công hoặc các trao đổi nghiệp vụ qua email, tin nhắn, hệ thống quản lý công việc hoặc văn bản điện tử được xem là căn cứ tham chiếu nếu xác định được người gửi, thời điểm gửi và nội dung trao đổi.</w:t>
      </w:r>
    </w:p>
    <w:p>
      <w:r>
        <w:rPr>
          <w:rFonts w:ascii="Times New Roman" w:hAnsi="Times New Roman" w:eastAsia="Times New Roman"/>
          <w:b w:val="0"/>
          <w:i w:val="0"/>
          <w:sz w:val="22"/>
        </w:rPr>
        <w:t>2. Các văn bản cần ký/đóng dấu như hợp đồng, phụ lục, nghiệm thu, quyết toán, đối chiếu công nợ và hồ sơ thanh toán sẽ thực hiện theo hình thức bản giấy hoặc bản điện tử có giá trị pháp lý tương đương nếu hai bên thống nhất.</w:t>
      </w:r>
    </w:p>
    <w:p>
      <w:r>
        <w:rPr>
          <w:rFonts w:ascii="Times New Roman" w:hAnsi="Times New Roman" w:eastAsia="Times New Roman"/>
          <w:b w:val="0"/>
          <w:i w:val="0"/>
          <w:sz w:val="22"/>
        </w:rPr>
        <w:t>3. Hồ sơ, hình ảnh, thông tin kỹ thuật, thông tin người liên hệ và dữ liệu giao dịch được thu thập chỉ nhằm mục đích thực hiện hợp đồng, quản lý bảo hành, bảo trì, thanh toán, đối chiếu công nợ và lưu trữ hồ sơ theo quy định.</w:t>
      </w:r>
    </w:p>
    <w:p>
      <w:r>
        <w:rPr>
          <w:rFonts w:ascii="Times New Roman" w:hAnsi="Times New Roman" w:eastAsia="Times New Roman"/>
          <w:b w:val="0"/>
          <w:i w:val="0"/>
          <w:sz w:val="22"/>
        </w:rPr>
        <w:t>4. Bên B được phép lưu trữ hồ sơ giao dịch trong hệ thống quản trị nội bộ để phục vụ truy xuất chứng từ, bảo hành, bảo trì, kiểm toán nội bộ và xử lý tranh chấp nếu có.</w:t>
      </w:r>
    </w:p>
    <w:p>
      <w:pPr>
        <w:keepNext/>
        <w:spacing w:before="100"/>
      </w:pPr>
      <w:r>
        <w:rPr>
          <w:rFonts w:ascii="Times New Roman" w:hAnsi="Times New Roman" w:eastAsia="Times New Roman"/>
          <w:b/>
          <w:i w:val="0"/>
          <w:sz w:val="22"/>
        </w:rPr>
        <w:t>Điều 13. Chấm dứt hợp đồng</w:t>
      </w:r>
    </w:p>
    <w:p>
      <w:r>
        <w:rPr>
          <w:rFonts w:ascii="Times New Roman" w:hAnsi="Times New Roman" w:eastAsia="Times New Roman"/>
          <w:b w:val="0"/>
          <w:i w:val="0"/>
          <w:sz w:val="22"/>
        </w:rPr>
        <w:t>1. Hợp đồng chấm dứt khi hai bên hoàn thành nghĩa vụ, hết thời hạn, một bên vi phạm nghiêm trọng và không khắc phục, hoặc theo thỏa thuận/quy định pháp luật.</w:t>
      </w:r>
    </w:p>
    <w:p>
      <w:r>
        <w:rPr>
          <w:rFonts w:ascii="Times New Roman" w:hAnsi="Times New Roman" w:eastAsia="Times New Roman"/>
          <w:b w:val="0"/>
          <w:i w:val="0"/>
          <w:sz w:val="22"/>
        </w:rPr>
        <w:t>2. Chấm dứt hợp đồng không làm mất nghĩa vụ thanh toán, bồi thường, bảo hành, bảo mật và các nghĩa vụ còn tồn tại trước đó.</w:t>
      </w:r>
    </w:p>
    <w:p>
      <w:pPr>
        <w:keepNext/>
        <w:spacing w:before="100"/>
      </w:pPr>
      <w:r>
        <w:rPr>
          <w:rFonts w:ascii="Times New Roman" w:hAnsi="Times New Roman" w:eastAsia="Times New Roman"/>
          <w:b/>
          <w:i w:val="0"/>
          <w:sz w:val="22"/>
        </w:rPr>
        <w:t>Điều 14. Giải quyết tranh chấp và hiệu lực</w:t>
      </w:r>
    </w:p>
    <w:p>
      <w:r>
        <w:rPr>
          <w:rFonts w:ascii="Times New Roman" w:hAnsi="Times New Roman" w:eastAsia="Times New Roman"/>
          <w:b w:val="0"/>
          <w:i w:val="0"/>
          <w:sz w:val="22"/>
        </w:rPr>
        <w:t>1. Tranh chấp ưu tiên thương lượng/hòa giải; nếu không được thì đưa ra Tòa án có thẩm quyền theo quy định pháp luật.</w:t>
      </w:r>
    </w:p>
    <w:p>
      <w:r>
        <w:rPr>
          <w:rFonts w:ascii="Times New Roman" w:hAnsi="Times New Roman" w:eastAsia="Times New Roman"/>
          <w:b w:val="0"/>
          <w:i w:val="0"/>
          <w:sz w:val="22"/>
        </w:rPr>
        <w:t>2. Hợp đồng có hiệu lực từ ngày ký và được lập thành 02 bản, mỗi bên giữ 01 bản có giá trị pháp lý như nhau.</w:t>
      </w:r>
    </w:p>
    <w:p>
      <w:r>
        <w:rPr>
          <w:rFonts w:ascii="Times New Roman" w:hAnsi="Times New Roman" w:eastAsia="Times New Roman"/>
          <w:b w:val="0"/>
          <w:i w:val="0"/>
          <w:sz w:val="22"/>
        </w:rPr>
      </w:r>
    </w:p>
    <w:tbl>
      <w:tblPr>
        <w:tblStyle w:val="TableGrid"/>
        <w:tblW w:type="auto" w:w="0"/>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ĐẠI DIỆN BÊN A</w:t>
              <w:br/>
              <w:t>(Ký, ghi rõ họ tên, chức vụ, đóng dấu)</w:t>
            </w:r>
          </w:p>
        </w:tc>
        <w:tc>
          <w:tcPr>
            <w:tcW w:type="dxa" w:w="5071"/>
            <w:vAlign w:val="center"/>
            <w:shd w:fill="D9EAF7"/>
          </w:tcPr>
          <w:p>
            <w:pPr>
              <w:jc w:val="center"/>
            </w:pPr>
            <w:r/>
            <w:r>
              <w:rPr>
                <w:rFonts w:ascii="Times New Roman" w:hAnsi="Times New Roman" w:eastAsia="Times New Roman"/>
                <w:b/>
                <w:sz w:val="22"/>
              </w:rPr>
              <w:t>ĐẠI DIỆN BÊN B</w:t>
              <w:br/>
              <w:t>(Ký, ghi rõ họ tên, chức vụ, đóng dấu)</w:t>
            </w:r>
          </w:p>
        </w:tc>
      </w:tr>
      <w:tr>
        <w:tc>
          <w:tcPr>
            <w:tcW w:type="dxa" w:w="5071"/>
            <w:vAlign w:val="center"/>
          </w:tcPr>
          <w:p>
            <w:pPr>
              <w:jc w:val="center"/>
            </w:pPr>
            <w:r/>
            <w:r>
              <w:rPr>
                <w:rFonts w:ascii="Times New Roman" w:hAnsi="Times New Roman" w:eastAsia="Times New Roman"/>
                <w:b/>
                <w:sz w:val="22"/>
              </w:rPr>
              <w:br/>
              <w:br/>
              <w:br/>
              <w:br/>
              <w:br/>
              <w:t>{{ben_a_nguoi_ky}}</w:t>
            </w:r>
          </w:p>
        </w:tc>
        <w:tc>
          <w:tcPr>
            <w:tcW w:type="dxa" w:w="5071"/>
            <w:vAlign w:val="center"/>
          </w:tcPr>
          <w:p>
            <w:pPr>
              <w:jc w:val="center"/>
            </w:pPr>
            <w:r/>
            <w:r>
              <w:rPr>
                <w:rFonts w:ascii="Times New Roman" w:hAnsi="Times New Roman" w:eastAsia="Times New Roman"/>
                <w:b/>
                <w:sz w:val="22"/>
              </w:rPr>
              <w:br/>
              <w:br/>
              <w:br/>
              <w:br/>
              <w:br/>
              <w:t>{{ben_b_nguoi_ky}}</w:t>
            </w:r>
          </w:p>
        </w:tc>
      </w:tr>
    </w:tbl>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r>
      <w:rPr>
        <w:rFonts w:ascii="Times New Roman" w:hAnsi="Times New Roman"/>
        <w:color w:val="646464"/>
        <w:sz w:val="18"/>
      </w:rPr>
      <w:t xml:space="preserve"> | THANH HOÀI Contract Template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18"/>
      </w:rPr>
      <w:t>THANH HOÀI ERP - BỘ MẪU HỢP ĐỒNG</w:t>
    </w:r>
  </w:p>
  <w:p>
    <w:pPr>
      <w:jc w:val="center"/>
    </w:pPr>
    <w:r>
      <w:rPr>
        <w:rFonts w:ascii="Times New Roman" w:hAnsi="Times New Roman"/>
        <w:color w:val="5A5A5A"/>
        <w:sz w:val="16"/>
      </w:rPr>
      <w:t>HỢP ĐỒNG KINH TẾ | Mã mẫu: HDKT-TH-v1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