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59" w:lineRule="auto"/>
        <w:jc w:val="center"/>
      </w:pPr>
      <w:r>
        <w:rPr>
          <w:rFonts w:ascii="Times New Roman" w:hAnsi="Times New Roman" w:eastAsia="Times New Roman"/>
          <w:b/>
          <w:i w:val="0"/>
          <w:sz w:val="24"/>
        </w:rPr>
        <w:t>CỘNG HÒA XÃ HỘI CHỦ NGHĨA VIỆT NAM</w:t>
      </w:r>
    </w:p>
    <w:p>
      <w:pPr>
        <w:spacing w:after="0" w:line="259" w:lineRule="auto"/>
        <w:jc w:val="center"/>
      </w:pPr>
      <w:r>
        <w:rPr>
          <w:rFonts w:ascii="Times New Roman" w:hAnsi="Times New Roman" w:eastAsia="Times New Roman"/>
          <w:b/>
          <w:i w:val="0"/>
          <w:sz w:val="24"/>
        </w:rPr>
        <w:t>Độc lập - Tự do - Hạnh phúc</w:t>
      </w:r>
    </w:p>
    <w:p>
      <w:pPr>
        <w:spacing w:after="80" w:line="259" w:lineRule="auto"/>
        <w:jc w:val="center"/>
      </w:pPr>
      <w:r>
        <w:rPr>
          <w:rFonts w:ascii="Times New Roman" w:hAnsi="Times New Roman" w:eastAsia="Times New Roman"/>
          <w:b w:val="0"/>
          <w:i w:val="0"/>
          <w:sz w:val="22"/>
        </w:rPr>
        <w:t>---o0o---</w:t>
      </w:r>
    </w:p>
    <w:p>
      <w:pPr>
        <w:spacing w:after="20" w:line="259" w:lineRule="auto"/>
        <w:jc w:val="center"/>
      </w:pPr>
      <w:r>
        <w:rPr>
          <w:rFonts w:ascii="Times New Roman" w:hAnsi="Times New Roman" w:eastAsia="Times New Roman"/>
          <w:b/>
          <w:i w:val="0"/>
          <w:sz w:val="30"/>
        </w:rPr>
        <w:t>HỢP ĐỒNG BẢO TRÌ, BẢO DƯỠNG</w:t>
      </w:r>
    </w:p>
    <w:p>
      <w:pPr>
        <w:spacing w:after="100" w:line="259" w:lineRule="auto"/>
        <w:jc w:val="center"/>
      </w:pPr>
      <w:r>
        <w:rPr>
          <w:rFonts w:ascii="Times New Roman" w:hAnsi="Times New Roman" w:eastAsia="Times New Roman"/>
          <w:b/>
          <w:i w:val="0"/>
          <w:sz w:val="22"/>
        </w:rPr>
        <w:t>Số: {{so_hop_dong}}/HĐBT/TH</w:t>
      </w:r>
    </w:p>
    <w:p>
      <w:pPr>
        <w:spacing w:after="160" w:line="259" w:lineRule="auto"/>
        <w:jc w:val="center"/>
      </w:pPr>
      <w:r>
        <w:rPr>
          <w:rFonts w:ascii="Times New Roman" w:hAnsi="Times New Roman" w:eastAsia="Times New Roman"/>
          <w:b w:val="0"/>
          <w:i/>
          <w:color w:val="666666"/>
          <w:sz w:val="18"/>
        </w:rPr>
        <w:t>Bản mẫu tăng cường điều khoản pháp lý | Dùng cho rà soát LEXcentra và duyệt nội bộ trước khi ký</w:t>
      </w:r>
    </w:p>
    <w:p>
      <w:pPr>
        <w:spacing w:after="40" w:line="259" w:lineRule="auto"/>
      </w:pPr>
      <w:r>
        <w:rPr>
          <w:rFonts w:ascii="Times New Roman" w:hAnsi="Times New Roman" w:eastAsia="Times New Roman"/>
          <w:b/>
          <w:i w:val="0"/>
          <w:sz w:val="24"/>
        </w:rPr>
        <w:t>Căn cứ ký kết</w:t>
      </w:r>
    </w:p>
    <w:p>
      <w:pPr>
        <w:spacing w:after="40" w:line="259" w:lineRule="auto"/>
      </w:pPr>
      <w:r>
        <w:rPr>
          <w:rFonts w:ascii="Times New Roman" w:hAnsi="Times New Roman" w:eastAsia="Times New Roman"/>
          <w:b w:val="0"/>
          <w:i w:val="0"/>
          <w:sz w:val="22"/>
        </w:rPr>
        <w:t>Bộ luật Dân sự năm 2015 và các văn bản sửa đổi, bổ sung, thay thế tại thời điểm ký kết/thực hiện hợp đồng;</w:t>
      </w:r>
    </w:p>
    <w:p>
      <w:pPr>
        <w:spacing w:after="40" w:line="259" w:lineRule="auto"/>
      </w:pPr>
      <w:r>
        <w:rPr>
          <w:rFonts w:ascii="Times New Roman" w:hAnsi="Times New Roman" w:eastAsia="Times New Roman"/>
          <w:b w:val="0"/>
          <w:i w:val="0"/>
          <w:sz w:val="22"/>
        </w:rPr>
        <w:t>Luật Thương mại năm 2005 và các văn bản sửa đổi, bổ sung, thay thế tại thời điểm ký kết/thực hiện hợp đồng;</w:t>
      </w:r>
    </w:p>
    <w:p>
      <w:pPr>
        <w:spacing w:after="40" w:line="259" w:lineRule="auto"/>
      </w:pPr>
      <w:r>
        <w:rPr>
          <w:rFonts w:ascii="Times New Roman" w:hAnsi="Times New Roman" w:eastAsia="Times New Roman"/>
          <w:b w:val="0"/>
          <w:i w:val="0"/>
          <w:sz w:val="22"/>
        </w:rPr>
        <w:t>Luật Giao dịch điện tử năm 2023, Bộ luật Tố tụng Dân sự năm 2015 và các quy định liên quan đến giá trị chứng cứ của dữ liệu điện tử;</w:t>
      </w:r>
    </w:p>
    <w:p>
      <w:pPr>
        <w:spacing w:after="40" w:line="259" w:lineRule="auto"/>
      </w:pPr>
      <w:r>
        <w:rPr>
          <w:rFonts w:ascii="Times New Roman" w:hAnsi="Times New Roman" w:eastAsia="Times New Roman"/>
          <w:b w:val="0"/>
          <w:i w:val="0"/>
          <w:sz w:val="22"/>
        </w:rPr>
        <w:t>Nhu cầu bảo trì, bảo dưỡng hệ thống cơ điện lạnh của Bên A và năng lực thực hiện của Bên B.</w:t>
      </w:r>
    </w:p>
    <w:p>
      <w:pPr>
        <w:spacing w:after="80" w:line="259" w:lineRule="auto"/>
        <w:ind w:left="198"/>
      </w:pPr>
      <w:r>
        <w:rPr>
          <w:rFonts w:ascii="Times New Roman" w:hAnsi="Times New Roman" w:eastAsia="Times New Roman"/>
          <w:b w:val="0"/>
          <w:i/>
          <w:color w:val="555555"/>
          <w:sz w:val="18"/>
        </w:rPr>
        <w:t>Cơ sở pháp lý tham chiếu: BLDS 2015: Điều 385, 398, 351, 357, 405, 406, 418, 423, 424, 428, 468; LTM 2005: Điều 49, 300, 301, 306, 307, 308, 310, 311; Luật GDĐT 2023: Điều 8, 11, 23; BLTTDS 2015: Điều 93.</w:t>
      </w:r>
    </w:p>
    <w:p>
      <w:pPr>
        <w:spacing w:after="60" w:line="259" w:lineRule="auto"/>
      </w:pPr>
      <w:r>
        <w:rPr>
          <w:rFonts w:ascii="Times New Roman" w:hAnsi="Times New Roman" w:eastAsia="Times New Roman"/>
          <w:b w:val="0"/>
          <w:i w:val="0"/>
          <w:sz w:val="22"/>
        </w:rPr>
        <w:t>Hôm nay, ngày {{ngay}} tháng {{thang}} năm {{nam}}, tại {{dia_diem_ky}}, chúng tôi gồm:</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241"/>
        <w:gridCol w:w="5241"/>
      </w:tblGrid>
      <w:tr>
        <w:tc>
          <w:tcPr>
            <w:tcW w:type="dxa" w:w="5241"/>
            <w:vAlign w:val="top"/>
            <w:shd w:fill="F2F6FA"/>
          </w:tcPr>
          <w:p>
            <w:r/>
            <w:r>
              <w:rPr>
                <w:rFonts w:ascii="Times New Roman" w:hAnsi="Times New Roman" w:eastAsia="Times New Roman"/>
                <w:b w:val="0"/>
                <w:sz w:val="20"/>
              </w:rPr>
              <w:t>BÊN A - KHÁCH HÀNG / ĐỐI TÁC</w:t>
              <w:br/>
              <w:t>Tên đơn vị: {{ben_a_ten}}</w:t>
              <w:br/>
              <w:t>Địa chỉ: {{ben_a_dia_chi}}</w:t>
              <w:br/>
              <w:t>Mã số thuế: {{ben_a_mst}}</w:t>
              <w:br/>
              <w:t>Điện thoại: {{ben_a_dien_thoai}}</w:t>
              <w:br/>
              <w:t>Email: {{ben_a_email}}</w:t>
              <w:br/>
              <w:t>Đại diện: {{ben_a_dai_dien}}</w:t>
              <w:br/>
              <w:t>Chức vụ: {{ben_a_chuc_vu}}</w:t>
              <w:br/>
              <w:t>Tài khoản: {{ben_a_tai_khoan}}</w:t>
              <w:br/>
              <w:t>Ngân hàng: {{ben_a_ngan_hang}}</w:t>
            </w:r>
          </w:p>
        </w:tc>
        <w:tc>
          <w:tcPr>
            <w:tcW w:type="dxa" w:w="5241"/>
            <w:vAlign w:val="top"/>
            <w:shd w:fill="F2F6FA"/>
          </w:tcPr>
          <w:p>
            <w:r/>
            <w:r>
              <w:rPr>
                <w:rFonts w:ascii="Times New Roman" w:hAnsi="Times New Roman" w:eastAsia="Times New Roman"/>
                <w:b w:val="0"/>
                <w:sz w:val="20"/>
              </w:rPr>
              <w:t>BÊN B - THANH HOÀI</w:t>
              <w:br/>
              <w:t>Tên đơn vị: CÔNG TY TNHH MTV CƠ ĐIỆN LẠNH THANH HOÀI</w:t>
              <w:br/>
              <w:t>Địa chỉ: 448/3, Tổ 16, KP 2, Phường Long Hưng, TP Đồng Nai, Việt Nam</w:t>
              <w:br/>
              <w:t>Mã số thuế: 3602504881</w:t>
              <w:br/>
              <w:t>Điện thoại: 02513 835 395</w:t>
              <w:br/>
              <w:t>Email: {{ben_b_email}}</w:t>
              <w:br/>
              <w:t>Đại diện: PHAN TRẦN ANH QUÂN</w:t>
              <w:br/>
              <w:t>Chức vụ: Giám đốc</w:t>
              <w:br/>
              <w:t>Tài khoản: 136822159</w:t>
              <w:br/>
              <w:t>Ngân hàng: Ngân hàng ACB - Chi nhánh/PGD Long Bình Tân, Đồng Nai</w:t>
            </w:r>
          </w:p>
        </w:tc>
      </w:tr>
    </w:tbl>
    <w:p>
      <w:pPr>
        <w:spacing w:after="120" w:line="259" w:lineRule="auto"/>
      </w:pPr>
      <w:r>
        <w:rPr>
          <w:rFonts w:ascii="Times New Roman" w:hAnsi="Times New Roman" w:eastAsia="Times New Roman"/>
          <w:b w:val="0"/>
          <w:i w:val="0"/>
          <w:sz w:val="22"/>
        </w:rPr>
        <w:t>Sau khi bàn bạc trên tinh thần thiện chí, trung thực và cùng có lợi, hai bên thống nhất ký kết Hợp đồng bảo trì, bảo dưỡng với các điều khoản sau:</w:t>
      </w:r>
    </w:p>
    <w:p>
      <w:pPr>
        <w:spacing w:after="40" w:line="259" w:lineRule="auto"/>
      </w:pPr>
      <w:r>
        <w:rPr>
          <w:rFonts w:ascii="Times New Roman" w:hAnsi="Times New Roman" w:eastAsia="Times New Roman"/>
          <w:b/>
          <w:i w:val="0"/>
          <w:sz w:val="24"/>
        </w:rPr>
        <w:t>Điều 1. Đối tượng bảo trì, bảo dưỡng</w:t>
      </w:r>
    </w:p>
    <w:p>
      <w:pPr>
        <w:spacing w:after="40" w:line="252" w:lineRule="auto"/>
        <w:ind w:left="198"/>
      </w:pPr>
      <w:r>
        <w:rPr>
          <w:rFonts w:ascii="Times New Roman" w:hAnsi="Times New Roman" w:eastAsia="Times New Roman"/>
          <w:b/>
          <w:sz w:val="22"/>
        </w:rPr>
        <w:t xml:space="preserve">1. </w:t>
      </w:r>
      <w:r>
        <w:rPr>
          <w:rFonts w:ascii="Times New Roman" w:hAnsi="Times New Roman" w:eastAsia="Times New Roman"/>
          <w:sz w:val="22"/>
        </w:rPr>
        <w:t>Đối tượng áp dụng gồm máy lạnh, hệ thống điều hòa không khí, VRV/VRF, dàn lạnh, dàn nóng, đường ống đồng, ống thoát nước, tủ điện điều khiển và thiết bị cơ điện lạnh khác theo danh sách/Phụ lục được hai bên xác nhận.</w:t>
      </w:r>
    </w:p>
    <w:p>
      <w:pPr>
        <w:spacing w:after="40" w:line="252" w:lineRule="auto"/>
        <w:ind w:left="198"/>
      </w:pPr>
      <w:r>
        <w:rPr>
          <w:rFonts w:ascii="Times New Roman" w:hAnsi="Times New Roman" w:eastAsia="Times New Roman"/>
          <w:b/>
          <w:sz w:val="22"/>
        </w:rPr>
        <w:t xml:space="preserve">2. </w:t>
      </w:r>
      <w:r>
        <w:rPr>
          <w:rFonts w:ascii="Times New Roman" w:hAnsi="Times New Roman" w:eastAsia="Times New Roman"/>
          <w:sz w:val="22"/>
        </w:rPr>
        <w:t>Địa điểm đặt thiết bị/hệ thống: {{dia_diem_bao_tri}}. Danh sách thiết bị, model/serial, vị trí, số lượng và tần suất bảo trì được thể hiện tại Phụ lục 01 hoặc bảng dưới đây.</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7"/>
        <w:gridCol w:w="1747"/>
        <w:gridCol w:w="1747"/>
        <w:gridCol w:w="1747"/>
        <w:gridCol w:w="1747"/>
        <w:gridCol w:w="1747"/>
      </w:tblGrid>
      <w:tr>
        <w:trPr>
          <w:tblHeader w:val="true"/>
        </w:trPr>
        <w:tc>
          <w:tcPr>
            <w:tcW w:type="dxa" w:w="1747"/>
            <w:shd w:fill="D9EAF7"/>
          </w:tcPr>
          <w:p>
            <w:pPr>
              <w:jc w:val="center"/>
            </w:pPr>
            <w:r/>
            <w:r>
              <w:rPr>
                <w:rFonts w:ascii="Times New Roman" w:hAnsi="Times New Roman" w:eastAsia="Times New Roman"/>
                <w:b/>
                <w:sz w:val="18"/>
              </w:rPr>
              <w:t>STT</w:t>
            </w:r>
          </w:p>
        </w:tc>
        <w:tc>
          <w:tcPr>
            <w:tcW w:type="dxa" w:w="1747"/>
            <w:shd w:fill="D9EAF7"/>
          </w:tcPr>
          <w:p>
            <w:pPr>
              <w:jc w:val="center"/>
            </w:pPr>
            <w:r/>
            <w:r>
              <w:rPr>
                <w:rFonts w:ascii="Times New Roman" w:hAnsi="Times New Roman" w:eastAsia="Times New Roman"/>
                <w:b/>
                <w:sz w:val="18"/>
              </w:rPr>
              <w:t>Tên thiết bị/hệ thống</w:t>
            </w:r>
          </w:p>
        </w:tc>
        <w:tc>
          <w:tcPr>
            <w:tcW w:type="dxa" w:w="1747"/>
            <w:shd w:fill="D9EAF7"/>
          </w:tcPr>
          <w:p>
            <w:pPr>
              <w:jc w:val="center"/>
            </w:pPr>
            <w:r/>
            <w:r>
              <w:rPr>
                <w:rFonts w:ascii="Times New Roman" w:hAnsi="Times New Roman" w:eastAsia="Times New Roman"/>
                <w:b/>
                <w:sz w:val="18"/>
              </w:rPr>
              <w:t>Model/Serial</w:t>
            </w:r>
          </w:p>
        </w:tc>
        <w:tc>
          <w:tcPr>
            <w:tcW w:type="dxa" w:w="1747"/>
            <w:shd w:fill="D9EAF7"/>
          </w:tcPr>
          <w:p>
            <w:pPr>
              <w:jc w:val="center"/>
            </w:pPr>
            <w:r/>
            <w:r>
              <w:rPr>
                <w:rFonts w:ascii="Times New Roman" w:hAnsi="Times New Roman" w:eastAsia="Times New Roman"/>
                <w:b/>
                <w:sz w:val="18"/>
              </w:rPr>
              <w:t>Vị trí</w:t>
            </w:r>
          </w:p>
        </w:tc>
        <w:tc>
          <w:tcPr>
            <w:tcW w:type="dxa" w:w="1747"/>
            <w:shd w:fill="D9EAF7"/>
          </w:tcPr>
          <w:p>
            <w:pPr>
              <w:jc w:val="center"/>
            </w:pPr>
            <w:r/>
            <w:r>
              <w:rPr>
                <w:rFonts w:ascii="Times New Roman" w:hAnsi="Times New Roman" w:eastAsia="Times New Roman"/>
                <w:b/>
                <w:sz w:val="18"/>
              </w:rPr>
              <w:t>Số lượng/Tần suất</w:t>
            </w:r>
          </w:p>
        </w:tc>
        <w:tc>
          <w:tcPr>
            <w:tcW w:type="dxa" w:w="1747"/>
            <w:shd w:fill="D9EAF7"/>
          </w:tcPr>
          <w:p>
            <w:pPr>
              <w:jc w:val="center"/>
            </w:pPr>
            <w:r/>
            <w:r>
              <w:rPr>
                <w:rFonts w:ascii="Times New Roman" w:hAnsi="Times New Roman" w:eastAsia="Times New Roman"/>
                <w:b/>
                <w:sz w:val="18"/>
              </w:rPr>
              <w:t>Ghi chú</w:t>
            </w:r>
          </w:p>
        </w:tc>
      </w:tr>
      <w:tr>
        <w:tc>
          <w:tcPr>
            <w:tcW w:type="dxa" w:w="1747"/>
          </w:tcPr>
          <w:p>
            <w:pPr>
              <w:jc w:val="center"/>
            </w:pPr>
            <w:r/>
            <w:r>
              <w:rPr>
                <w:rFonts w:ascii="Times New Roman" w:hAnsi="Times New Roman" w:eastAsia="Times New Roman"/>
                <w:b w:val="0"/>
                <w:sz w:val="18"/>
              </w:rPr>
              <w:t>1</w:t>
            </w:r>
          </w:p>
        </w:tc>
        <w:tc>
          <w:tcPr>
            <w:tcW w:type="dxa" w:w="1747"/>
          </w:tcPr>
          <w:p>
            <w:r/>
            <w:r>
              <w:rPr>
                <w:rFonts w:ascii="Times New Roman" w:hAnsi="Times New Roman" w:eastAsia="Times New Roman"/>
                <w:b w:val="0"/>
                <w:sz w:val="18"/>
              </w:rPr>
              <w:t>{{thiet_bi_1}}</w:t>
            </w:r>
          </w:p>
        </w:tc>
        <w:tc>
          <w:tcPr>
            <w:tcW w:type="dxa" w:w="1747"/>
          </w:tcPr>
          <w:p>
            <w:r/>
            <w:r>
              <w:rPr>
                <w:rFonts w:ascii="Times New Roman" w:hAnsi="Times New Roman" w:eastAsia="Times New Roman"/>
                <w:b w:val="0"/>
                <w:sz w:val="18"/>
              </w:rPr>
              <w:t>{{model_serial_1}}</w:t>
            </w:r>
          </w:p>
        </w:tc>
        <w:tc>
          <w:tcPr>
            <w:tcW w:type="dxa" w:w="1747"/>
          </w:tcPr>
          <w:p>
            <w:pPr>
              <w:jc w:val="center"/>
            </w:pPr>
            <w:r/>
            <w:r>
              <w:rPr>
                <w:rFonts w:ascii="Times New Roman" w:hAnsi="Times New Roman" w:eastAsia="Times New Roman"/>
                <w:b w:val="0"/>
                <w:sz w:val="18"/>
              </w:rPr>
              <w:t>{{vi_tri_1}}</w:t>
            </w:r>
          </w:p>
        </w:tc>
        <w:tc>
          <w:tcPr>
            <w:tcW w:type="dxa" w:w="1747"/>
          </w:tcPr>
          <w:p>
            <w:pPr>
              <w:jc w:val="center"/>
            </w:pPr>
            <w:r/>
            <w:r>
              <w:rPr>
                <w:rFonts w:ascii="Times New Roman" w:hAnsi="Times New Roman" w:eastAsia="Times New Roman"/>
                <w:b w:val="0"/>
                <w:sz w:val="18"/>
              </w:rPr>
              <w:t>{{so_luong_1}} / {{tan_suat_1}}</w:t>
            </w:r>
          </w:p>
        </w:tc>
        <w:tc>
          <w:tcPr>
            <w:tcW w:type="dxa" w:w="1747"/>
          </w:tcPr>
          <w:p>
            <w:r/>
            <w:r>
              <w:rPr>
                <w:rFonts w:ascii="Times New Roman" w:hAnsi="Times New Roman" w:eastAsia="Times New Roman"/>
                <w:b w:val="0"/>
                <w:sz w:val="18"/>
              </w:rPr>
              <w:t>{{ghi_chu_1}}</w:t>
            </w:r>
          </w:p>
        </w:tc>
      </w:tr>
      <w:tr>
        <w:tc>
          <w:tcPr>
            <w:tcW w:type="dxa" w:w="1747"/>
          </w:tcPr>
          <w:p>
            <w:pPr>
              <w:jc w:val="center"/>
            </w:pPr>
            <w:r/>
            <w:r>
              <w:rPr>
                <w:rFonts w:ascii="Times New Roman" w:hAnsi="Times New Roman" w:eastAsia="Times New Roman"/>
                <w:b w:val="0"/>
                <w:sz w:val="18"/>
              </w:rPr>
              <w:t>2</w:t>
            </w:r>
          </w:p>
        </w:tc>
        <w:tc>
          <w:tcPr>
            <w:tcW w:type="dxa" w:w="1747"/>
          </w:tcPr>
          <w:p>
            <w:r/>
            <w:r>
              <w:rPr>
                <w:rFonts w:ascii="Times New Roman" w:hAnsi="Times New Roman" w:eastAsia="Times New Roman"/>
                <w:b w:val="0"/>
                <w:sz w:val="18"/>
              </w:rPr>
              <w:t>{{thiet_bi_2}}</w:t>
            </w:r>
          </w:p>
        </w:tc>
        <w:tc>
          <w:tcPr>
            <w:tcW w:type="dxa" w:w="1747"/>
          </w:tcPr>
          <w:p>
            <w:r/>
            <w:r>
              <w:rPr>
                <w:rFonts w:ascii="Times New Roman" w:hAnsi="Times New Roman" w:eastAsia="Times New Roman"/>
                <w:b w:val="0"/>
                <w:sz w:val="18"/>
              </w:rPr>
              <w:t>{{model_serial_2}}</w:t>
            </w:r>
          </w:p>
        </w:tc>
        <w:tc>
          <w:tcPr>
            <w:tcW w:type="dxa" w:w="1747"/>
          </w:tcPr>
          <w:p>
            <w:pPr>
              <w:jc w:val="center"/>
            </w:pPr>
            <w:r/>
            <w:r>
              <w:rPr>
                <w:rFonts w:ascii="Times New Roman" w:hAnsi="Times New Roman" w:eastAsia="Times New Roman"/>
                <w:b w:val="0"/>
                <w:sz w:val="18"/>
              </w:rPr>
              <w:t>{{vi_tri_2}}</w:t>
            </w:r>
          </w:p>
        </w:tc>
        <w:tc>
          <w:tcPr>
            <w:tcW w:type="dxa" w:w="1747"/>
          </w:tcPr>
          <w:p>
            <w:pPr>
              <w:jc w:val="center"/>
            </w:pPr>
            <w:r/>
            <w:r>
              <w:rPr>
                <w:rFonts w:ascii="Times New Roman" w:hAnsi="Times New Roman" w:eastAsia="Times New Roman"/>
                <w:b w:val="0"/>
                <w:sz w:val="18"/>
              </w:rPr>
              <w:t>{{so_luong_2}} / {{tan_suat_2}}</w:t>
            </w:r>
          </w:p>
        </w:tc>
        <w:tc>
          <w:tcPr>
            <w:tcW w:type="dxa" w:w="1747"/>
          </w:tcPr>
          <w:p>
            <w:r/>
            <w:r>
              <w:rPr>
                <w:rFonts w:ascii="Times New Roman" w:hAnsi="Times New Roman" w:eastAsia="Times New Roman"/>
                <w:b w:val="0"/>
                <w:sz w:val="18"/>
              </w:rPr>
              <w:t>{{ghi_chu_2}}</w:t>
            </w:r>
          </w:p>
        </w:tc>
      </w:tr>
      <w:tr>
        <w:tc>
          <w:tcPr>
            <w:tcW w:type="dxa" w:w="1747"/>
          </w:tcPr>
          <w:p>
            <w:pPr>
              <w:jc w:val="center"/>
            </w:pPr>
            <w:r/>
            <w:r>
              <w:rPr>
                <w:rFonts w:ascii="Times New Roman" w:hAnsi="Times New Roman" w:eastAsia="Times New Roman"/>
                <w:b w:val="0"/>
                <w:sz w:val="18"/>
              </w:rPr>
              <w:t>3</w:t>
            </w:r>
          </w:p>
        </w:tc>
        <w:tc>
          <w:tcPr>
            <w:tcW w:type="dxa" w:w="1747"/>
          </w:tcPr>
          <w:p>
            <w:r/>
            <w:r>
              <w:rPr>
                <w:rFonts w:ascii="Times New Roman" w:hAnsi="Times New Roman" w:eastAsia="Times New Roman"/>
                <w:b w:val="0"/>
                <w:sz w:val="18"/>
              </w:rPr>
              <w:t>{{thiet_bi_3}}</w:t>
            </w:r>
          </w:p>
        </w:tc>
        <w:tc>
          <w:tcPr>
            <w:tcW w:type="dxa" w:w="1747"/>
          </w:tcPr>
          <w:p>
            <w:r/>
            <w:r>
              <w:rPr>
                <w:rFonts w:ascii="Times New Roman" w:hAnsi="Times New Roman" w:eastAsia="Times New Roman"/>
                <w:b w:val="0"/>
                <w:sz w:val="18"/>
              </w:rPr>
              <w:t>{{model_serial_3}}</w:t>
            </w:r>
          </w:p>
        </w:tc>
        <w:tc>
          <w:tcPr>
            <w:tcW w:type="dxa" w:w="1747"/>
          </w:tcPr>
          <w:p>
            <w:pPr>
              <w:jc w:val="center"/>
            </w:pPr>
            <w:r/>
            <w:r>
              <w:rPr>
                <w:rFonts w:ascii="Times New Roman" w:hAnsi="Times New Roman" w:eastAsia="Times New Roman"/>
                <w:b w:val="0"/>
                <w:sz w:val="18"/>
              </w:rPr>
              <w:t>{{vi_tri_3}}</w:t>
            </w:r>
          </w:p>
        </w:tc>
        <w:tc>
          <w:tcPr>
            <w:tcW w:type="dxa" w:w="1747"/>
          </w:tcPr>
          <w:p>
            <w:pPr>
              <w:jc w:val="center"/>
            </w:pPr>
            <w:r/>
            <w:r>
              <w:rPr>
                <w:rFonts w:ascii="Times New Roman" w:hAnsi="Times New Roman" w:eastAsia="Times New Roman"/>
                <w:b w:val="0"/>
                <w:sz w:val="18"/>
              </w:rPr>
              <w:t>{{so_luong_3}} / {{tan_suat_3}}</w:t>
            </w:r>
          </w:p>
        </w:tc>
        <w:tc>
          <w:tcPr>
            <w:tcW w:type="dxa" w:w="1747"/>
          </w:tcPr>
          <w:p>
            <w:r/>
            <w:r>
              <w:rPr>
                <w:rFonts w:ascii="Times New Roman" w:hAnsi="Times New Roman" w:eastAsia="Times New Roman"/>
                <w:b w:val="0"/>
                <w:sz w:val="18"/>
              </w:rPr>
              <w:t>{{ghi_chu_3}}</w:t>
            </w:r>
          </w:p>
        </w:tc>
      </w:tr>
    </w:tbl>
    <w:p>
      <w:pPr>
        <w:spacing w:after="40" w:line="259" w:lineRule="auto"/>
      </w:pPr>
      <w:r>
        <w:rPr>
          <w:rFonts w:ascii="Times New Roman" w:hAnsi="Times New Roman" w:eastAsia="Times New Roman"/>
          <w:b/>
          <w:i w:val="0"/>
          <w:sz w:val="24"/>
        </w:rPr>
        <w:t>Điều 2. Phạm vi công việc</w:t>
      </w:r>
    </w:p>
    <w:p>
      <w:pPr>
        <w:spacing w:after="40" w:line="252" w:lineRule="auto"/>
        <w:ind w:left="198"/>
      </w:pPr>
      <w:r>
        <w:rPr>
          <w:rFonts w:ascii="Times New Roman" w:hAnsi="Times New Roman" w:eastAsia="Times New Roman"/>
          <w:b/>
          <w:sz w:val="22"/>
        </w:rPr>
        <w:t xml:space="preserve">1. </w:t>
      </w:r>
      <w:r>
        <w:rPr>
          <w:rFonts w:ascii="Times New Roman" w:hAnsi="Times New Roman" w:eastAsia="Times New Roman"/>
          <w:sz w:val="22"/>
        </w:rPr>
        <w:t>Bên B thực hiện kiểm tra tổng thể, vệ sinh dàn lạnh/dàn nóng/lưới lọc, kiểm tra gas, áp suất, dòng điện, độ ồn, độ rung, mối nối, dây điện, tiếp điểm, ghi nhận hiện trạng và đề xuất xử lý bất thường trong phạm vi thỏa thuận.</w:t>
      </w:r>
    </w:p>
    <w:p>
      <w:pPr>
        <w:spacing w:after="40" w:line="252" w:lineRule="auto"/>
        <w:ind w:left="198"/>
      </w:pPr>
      <w:r>
        <w:rPr>
          <w:rFonts w:ascii="Times New Roman" w:hAnsi="Times New Roman" w:eastAsia="Times New Roman"/>
          <w:b/>
          <w:sz w:val="22"/>
        </w:rPr>
        <w:t xml:space="preserve">2. </w:t>
      </w:r>
      <w:r>
        <w:rPr>
          <w:rFonts w:ascii="Times New Roman" w:hAnsi="Times New Roman" w:eastAsia="Times New Roman"/>
          <w:sz w:val="22"/>
        </w:rPr>
        <w:t>Sửa chữa, thay thế vật tư ngoài phạm vi bảo trì chỉ được thực hiện khi có xác nhận bằng văn bản/email hợp lệ của Bên A và được tính riêng theo báo giá/phụ lục.</w:t>
      </w:r>
    </w:p>
    <w:p>
      <w:pPr>
        <w:spacing w:after="40" w:line="252" w:lineRule="auto"/>
        <w:ind w:left="198"/>
      </w:pPr>
      <w:r>
        <w:rPr>
          <w:rFonts w:ascii="Times New Roman" w:hAnsi="Times New Roman" w:eastAsia="Times New Roman"/>
          <w:b/>
          <w:sz w:val="22"/>
        </w:rPr>
        <w:t xml:space="preserve">3. </w:t>
      </w:r>
      <w:r>
        <w:rPr>
          <w:rFonts w:ascii="Times New Roman" w:hAnsi="Times New Roman" w:eastAsia="Times New Roman"/>
          <w:sz w:val="22"/>
        </w:rPr>
        <w:t>Các nội dung không được ghi rõ trong Hợp đồng, Phụ lục, báo giá hoặc biên bản xác nhận không mặc nhiên thuộc phạm vi công việc của Bên B.</w:t>
      </w:r>
    </w:p>
    <w:p>
      <w:pPr>
        <w:spacing w:after="40" w:line="259" w:lineRule="auto"/>
      </w:pPr>
      <w:r>
        <w:rPr>
          <w:rFonts w:ascii="Times New Roman" w:hAnsi="Times New Roman" w:eastAsia="Times New Roman"/>
          <w:b/>
          <w:i w:val="0"/>
          <w:sz w:val="24"/>
        </w:rPr>
        <w:t>Điều 3. Tần suất, lịch bảo trì và điều kiện tiếp cận</w:t>
      </w:r>
    </w:p>
    <w:p>
      <w:pPr>
        <w:spacing w:after="40" w:line="252" w:lineRule="auto"/>
        <w:ind w:left="198"/>
      </w:pPr>
      <w:r>
        <w:rPr>
          <w:rFonts w:ascii="Times New Roman" w:hAnsi="Times New Roman" w:eastAsia="Times New Roman"/>
          <w:b/>
          <w:sz w:val="22"/>
        </w:rPr>
        <w:t xml:space="preserve">1. </w:t>
      </w:r>
      <w:r>
        <w:rPr>
          <w:rFonts w:ascii="Times New Roman" w:hAnsi="Times New Roman" w:eastAsia="Times New Roman"/>
          <w:sz w:val="22"/>
        </w:rPr>
        <w:t>Tần suất bảo trì: {{tan_suat_bao_tri}}. Lịch cụ thể do hai bên thống nhất trước tối thiểu {{so_ngay_bao_truoc}} ngày làm việc, trừ trường hợp xử lý khẩn cấp.</w:t>
      </w:r>
    </w:p>
    <w:p>
      <w:pPr>
        <w:spacing w:after="40" w:line="252" w:lineRule="auto"/>
        <w:ind w:left="198"/>
      </w:pPr>
      <w:r>
        <w:rPr>
          <w:rFonts w:ascii="Times New Roman" w:hAnsi="Times New Roman" w:eastAsia="Times New Roman"/>
          <w:b/>
          <w:sz w:val="22"/>
        </w:rPr>
        <w:t xml:space="preserve">2. </w:t>
      </w:r>
      <w:r>
        <w:rPr>
          <w:rFonts w:ascii="Times New Roman" w:hAnsi="Times New Roman" w:eastAsia="Times New Roman"/>
          <w:sz w:val="22"/>
        </w:rPr>
        <w:t>Nếu Bên A không bố trí được lịch, người phối hợp, điều kiện tiếp cận thiết bị, nguồn điện/nước hoặc khu vực làm việc an toàn, lịch bảo trì được dời tương ứng và không được xem là Bên B chậm thực hiện.</w:t>
      </w:r>
    </w:p>
    <w:p>
      <w:pPr>
        <w:spacing w:after="40" w:line="259" w:lineRule="auto"/>
      </w:pPr>
      <w:r>
        <w:rPr>
          <w:rFonts w:ascii="Times New Roman" w:hAnsi="Times New Roman" w:eastAsia="Times New Roman"/>
          <w:b/>
          <w:i w:val="0"/>
          <w:sz w:val="24"/>
        </w:rPr>
        <w:t>Điều 4. Giá trị hợp đồng và vật tư thay thế</w:t>
      </w:r>
    </w:p>
    <w:p>
      <w:pPr>
        <w:spacing w:after="40" w:line="252" w:lineRule="auto"/>
        <w:ind w:left="198"/>
      </w:pPr>
      <w:r>
        <w:rPr>
          <w:rFonts w:ascii="Times New Roman" w:hAnsi="Times New Roman" w:eastAsia="Times New Roman"/>
          <w:b/>
          <w:sz w:val="22"/>
        </w:rPr>
        <w:t xml:space="preserve">1. </w:t>
      </w:r>
      <w:r>
        <w:rPr>
          <w:rFonts w:ascii="Times New Roman" w:hAnsi="Times New Roman" w:eastAsia="Times New Roman"/>
          <w:sz w:val="22"/>
        </w:rPr>
        <w:t>Phí bảo trì, bảo dưỡng: {{phi_bao_tri}} VNĐ/{{ky_thanh_toan}}. VAT: {{vat_rate}}%. Tổng thanh toán: {{tong_thanh_toan}} VNĐ.</w:t>
      </w:r>
    </w:p>
    <w:p>
      <w:pPr>
        <w:spacing w:after="40" w:line="252" w:lineRule="auto"/>
        <w:ind w:left="198"/>
      </w:pPr>
      <w:r>
        <w:rPr>
          <w:rFonts w:ascii="Times New Roman" w:hAnsi="Times New Roman" w:eastAsia="Times New Roman"/>
          <w:b/>
          <w:sz w:val="22"/>
        </w:rPr>
        <w:t xml:space="preserve">2. </w:t>
      </w:r>
      <w:r>
        <w:rPr>
          <w:rFonts w:ascii="Times New Roman" w:hAnsi="Times New Roman" w:eastAsia="Times New Roman"/>
          <w:sz w:val="22"/>
        </w:rPr>
        <w:t>Vật tư thay thế: {{chinh_sach_vat_tu_thay_the}}. Mọi phát sinh ngoài phạm vi hợp đồng phải được Bên A xác nhận bằng văn bản/email trước khi thực hiện, trừ trường hợp khẩn cấp cần xử lý để giảm thiểu thiệt hại, an toàn hoặc bảo vệ tài sản.</w:t>
      </w:r>
    </w:p>
    <w:p>
      <w:pPr>
        <w:spacing w:after="40" w:line="252" w:lineRule="auto"/>
        <w:ind w:left="198"/>
      </w:pPr>
      <w:r>
        <w:rPr>
          <w:rFonts w:ascii="Times New Roman" w:hAnsi="Times New Roman" w:eastAsia="Times New Roman"/>
          <w:b/>
          <w:sz w:val="22"/>
        </w:rPr>
        <w:t xml:space="preserve">3. </w:t>
      </w:r>
      <w:r>
        <w:rPr>
          <w:rFonts w:ascii="Times New Roman" w:hAnsi="Times New Roman" w:eastAsia="Times New Roman"/>
          <w:sz w:val="22"/>
        </w:rPr>
        <w:t>Nếu giá vật tư, chi phí nhân công, vận chuyển, thuế, phí hoặc chính sách quản lý nhà nước thay đổi làm ảnh hưởng đáng kể đến giá thành, Bên B có quyền đề xuất điều chỉnh giá cho các kỳ/công việc phát sinh tiếp theo; việc điều chỉnh có hiệu lực khi Bên A xác nhận bằng văn bản/email.</w:t>
      </w:r>
    </w:p>
    <w:p>
      <w:pPr>
        <w:spacing w:after="40" w:line="259" w:lineRule="auto"/>
      </w:pPr>
      <w:r>
        <w:rPr>
          <w:rFonts w:ascii="Times New Roman" w:hAnsi="Times New Roman" w:eastAsia="Times New Roman"/>
          <w:b/>
          <w:i w:val="0"/>
          <w:sz w:val="24"/>
        </w:rPr>
        <w:t>Điều 5. Trách nhiệm của Bên B</w:t>
      </w:r>
    </w:p>
    <w:p>
      <w:pPr>
        <w:spacing w:after="40" w:line="252" w:lineRule="auto"/>
        <w:ind w:left="198"/>
      </w:pPr>
      <w:r>
        <w:rPr>
          <w:rFonts w:ascii="Times New Roman" w:hAnsi="Times New Roman" w:eastAsia="Times New Roman"/>
          <w:b/>
          <w:sz w:val="22"/>
        </w:rPr>
        <w:t xml:space="preserve">1. </w:t>
      </w:r>
      <w:r>
        <w:rPr>
          <w:rFonts w:ascii="Times New Roman" w:hAnsi="Times New Roman" w:eastAsia="Times New Roman"/>
          <w:sz w:val="22"/>
        </w:rPr>
        <w:t>Cử nhân sự có chuyên môn, thực hiện công việc theo lịch và phạm vi đã thống nhất, tuân thủ quy trình kỹ thuật, an toàn điện, PCCC và an toàn lao động trong phạm vi trách nhiệm của Bên B.</w:t>
      </w:r>
    </w:p>
    <w:p>
      <w:pPr>
        <w:spacing w:after="40" w:line="252" w:lineRule="auto"/>
        <w:ind w:left="198"/>
      </w:pPr>
      <w:r>
        <w:rPr>
          <w:rFonts w:ascii="Times New Roman" w:hAnsi="Times New Roman" w:eastAsia="Times New Roman"/>
          <w:b/>
          <w:sz w:val="22"/>
        </w:rPr>
        <w:t xml:space="preserve">2. </w:t>
      </w:r>
      <w:r>
        <w:rPr>
          <w:rFonts w:ascii="Times New Roman" w:hAnsi="Times New Roman" w:eastAsia="Times New Roman"/>
          <w:sz w:val="22"/>
        </w:rPr>
        <w:t>Lập biên bản/checklist hoặc báo cáo hiện trạng sau mỗi lần thực hiện; đề xuất phương án xử lý nếu phát hiện bất thường.</w:t>
      </w:r>
    </w:p>
    <w:p>
      <w:pPr>
        <w:spacing w:after="40" w:line="252" w:lineRule="auto"/>
        <w:ind w:left="198"/>
      </w:pPr>
      <w:r>
        <w:rPr>
          <w:rFonts w:ascii="Times New Roman" w:hAnsi="Times New Roman" w:eastAsia="Times New Roman"/>
          <w:b/>
          <w:sz w:val="22"/>
        </w:rPr>
        <w:t xml:space="preserve">3. </w:t>
      </w:r>
      <w:r>
        <w:rPr>
          <w:rFonts w:ascii="Times New Roman" w:hAnsi="Times New Roman" w:eastAsia="Times New Roman"/>
          <w:sz w:val="22"/>
        </w:rPr>
        <w:t>Có quyền từ chối hoặc tạm dừng thực hiện phần việc vượt phạm vi, thiếu điều kiện an toàn, chưa được xác nhận hoặc chưa được thanh toán theo quy định của Hợp đồng.</w:t>
      </w:r>
    </w:p>
    <w:p>
      <w:pPr>
        <w:spacing w:after="40" w:line="259" w:lineRule="auto"/>
      </w:pPr>
      <w:r>
        <w:rPr>
          <w:rFonts w:ascii="Times New Roman" w:hAnsi="Times New Roman" w:eastAsia="Times New Roman"/>
          <w:b/>
          <w:i w:val="0"/>
          <w:sz w:val="24"/>
        </w:rPr>
        <w:t>Điều 6. Trách nhiệm của Bên A</w:t>
      </w:r>
    </w:p>
    <w:p>
      <w:pPr>
        <w:spacing w:after="40" w:line="252" w:lineRule="auto"/>
        <w:ind w:left="198"/>
      </w:pPr>
      <w:r>
        <w:rPr>
          <w:rFonts w:ascii="Times New Roman" w:hAnsi="Times New Roman" w:eastAsia="Times New Roman"/>
          <w:b/>
          <w:sz w:val="22"/>
        </w:rPr>
        <w:t xml:space="preserve">1. </w:t>
      </w:r>
      <w:r>
        <w:rPr>
          <w:rFonts w:ascii="Times New Roman" w:hAnsi="Times New Roman" w:eastAsia="Times New Roman"/>
          <w:sz w:val="22"/>
        </w:rPr>
        <w:t>Tạo điều kiện để Bên B tiếp cận thiết bị/hệ thống; cung cấp thông tin vận hành, hiện trạng, lịch làm việc, nội quy công trình và người phối hợp có thẩm quyền.</w:t>
      </w:r>
    </w:p>
    <w:p>
      <w:pPr>
        <w:spacing w:after="40" w:line="252" w:lineRule="auto"/>
        <w:ind w:left="198"/>
      </w:pPr>
      <w:r>
        <w:rPr>
          <w:rFonts w:ascii="Times New Roman" w:hAnsi="Times New Roman" w:eastAsia="Times New Roman"/>
          <w:b/>
          <w:sz w:val="22"/>
        </w:rPr>
        <w:t xml:space="preserve">2. </w:t>
      </w:r>
      <w:r>
        <w:rPr>
          <w:rFonts w:ascii="Times New Roman" w:hAnsi="Times New Roman" w:eastAsia="Times New Roman"/>
          <w:sz w:val="22"/>
        </w:rPr>
        <w:t>Thanh toán đúng hạn, xác nhận biên bản bảo trì, xác nhận phát sinh và không tự ý can thiệp/tháo lắp/sửa chữa thiết bị/hệ thống khi chưa thông báo cho Bên B.</w:t>
      </w:r>
    </w:p>
    <w:p>
      <w:pPr>
        <w:spacing w:after="40" w:line="252" w:lineRule="auto"/>
        <w:ind w:left="198"/>
      </w:pPr>
      <w:r>
        <w:rPr>
          <w:rFonts w:ascii="Times New Roman" w:hAnsi="Times New Roman" w:eastAsia="Times New Roman"/>
          <w:b/>
          <w:sz w:val="22"/>
        </w:rPr>
        <w:t xml:space="preserve">3. </w:t>
      </w:r>
      <w:r>
        <w:rPr>
          <w:rFonts w:ascii="Times New Roman" w:hAnsi="Times New Roman" w:eastAsia="Times New Roman"/>
          <w:sz w:val="22"/>
        </w:rPr>
        <w:t>Chịu trách nhiệm đối với thông tin, điều kiện vận hành, điều kiện tiếp cận và các thay đổi hiện trạng do Bên A hoặc bên thứ ba thực hiện.</w:t>
      </w:r>
    </w:p>
    <w:p>
      <w:pPr>
        <w:spacing w:after="40" w:line="259" w:lineRule="auto"/>
      </w:pPr>
      <w:r>
        <w:rPr>
          <w:rFonts w:ascii="Times New Roman" w:hAnsi="Times New Roman" w:eastAsia="Times New Roman"/>
          <w:b/>
          <w:i w:val="0"/>
          <w:sz w:val="24"/>
        </w:rPr>
        <w:t>Điều 7. Sửa chữa phát sinh ngoài phạm vi</w:t>
      </w:r>
    </w:p>
    <w:p>
      <w:pPr>
        <w:spacing w:after="40" w:line="252" w:lineRule="auto"/>
        <w:ind w:left="198"/>
      </w:pPr>
      <w:r>
        <w:rPr>
          <w:rFonts w:ascii="Times New Roman" w:hAnsi="Times New Roman" w:eastAsia="Times New Roman"/>
          <w:b/>
          <w:sz w:val="22"/>
        </w:rPr>
        <w:t xml:space="preserve">1. </w:t>
      </w:r>
      <w:r>
        <w:rPr>
          <w:rFonts w:ascii="Times New Roman" w:hAnsi="Times New Roman" w:eastAsia="Times New Roman"/>
          <w:sz w:val="22"/>
        </w:rPr>
        <w:t>Nếu trong quá trình bảo trì phát hiện lỗi cần sửa chữa ngoài phạm vi, Bên B thông báo, mô tả hiện trạng và báo giá riêng cho Bên A. Chỉ sau khi Bên A đồng ý bằng văn bản/email, Bên B mới thực hiện.</w:t>
      </w:r>
    </w:p>
    <w:p>
      <w:pPr>
        <w:spacing w:after="40" w:line="252" w:lineRule="auto"/>
        <w:ind w:left="198"/>
      </w:pPr>
      <w:r>
        <w:rPr>
          <w:rFonts w:ascii="Times New Roman" w:hAnsi="Times New Roman" w:eastAsia="Times New Roman"/>
          <w:b/>
          <w:sz w:val="22"/>
        </w:rPr>
        <w:t xml:space="preserve">2. </w:t>
      </w:r>
      <w:r>
        <w:rPr>
          <w:rFonts w:ascii="Times New Roman" w:hAnsi="Times New Roman" w:eastAsia="Times New Roman"/>
          <w:sz w:val="22"/>
        </w:rPr>
        <w:t>Chi phí phát sinh được thanh toán riêng, không mặc nhiên thuộc phí bảo trì. Việc Bên A xác nhận qua email/tin nhắn/hệ thống quản lý công việc được xem là căn cứ xác nhận phát sinh nếu đáp ứng Điều 14.</w:t>
      </w:r>
    </w:p>
    <w:p>
      <w:pPr>
        <w:spacing w:after="40" w:line="259" w:lineRule="auto"/>
      </w:pPr>
      <w:r>
        <w:rPr>
          <w:rFonts w:ascii="Times New Roman" w:hAnsi="Times New Roman" w:eastAsia="Times New Roman"/>
          <w:b/>
          <w:i w:val="0"/>
          <w:sz w:val="24"/>
        </w:rPr>
        <w:t>Điều 8. Thanh toán, lãi chậm trả và tạm ngừng dịch vụ</w:t>
      </w:r>
    </w:p>
    <w:p>
      <w:pPr>
        <w:spacing w:after="40" w:line="252" w:lineRule="auto"/>
        <w:ind w:left="198"/>
      </w:pPr>
      <w:r>
        <w:rPr>
          <w:rFonts w:ascii="Times New Roman" w:hAnsi="Times New Roman" w:eastAsia="Times New Roman"/>
          <w:b/>
          <w:sz w:val="22"/>
        </w:rPr>
        <w:t xml:space="preserve">1. </w:t>
      </w:r>
      <w:r>
        <w:rPr>
          <w:rFonts w:ascii="Times New Roman" w:hAnsi="Times New Roman" w:eastAsia="Times New Roman"/>
          <w:sz w:val="22"/>
        </w:rPr>
        <w:t>Bên A thanh toán theo tháng/quý/năm hoặc lịch khác do hai bên thỏa thuận. Thời hạn thanh toán: {{so_ngay_thanh_toan}} ngày kể từ ngày Bên A nhận hóa đơn/hồ sơ thanh toán hợp lệ hoặc theo kỳ thanh toán tại Phụ lục.</w:t>
      </w:r>
    </w:p>
    <w:p>
      <w:pPr>
        <w:spacing w:after="40" w:line="252" w:lineRule="auto"/>
        <w:ind w:left="198"/>
      </w:pPr>
      <w:r>
        <w:rPr>
          <w:rFonts w:ascii="Times New Roman" w:hAnsi="Times New Roman" w:eastAsia="Times New Roman"/>
          <w:b/>
          <w:sz w:val="22"/>
        </w:rPr>
        <w:t xml:space="preserve">2. </w:t>
      </w:r>
      <w:r>
        <w:rPr>
          <w:rFonts w:ascii="Times New Roman" w:hAnsi="Times New Roman" w:eastAsia="Times New Roman"/>
          <w:sz w:val="22"/>
        </w:rPr>
        <w:t>Nếu Bên A chậm thanh toán quá 05 (năm) ngày làm việc kể từ ngày đến hạn, Bên B có quyền thực hiện đồng thời hoặc lần lượt các biện pháp sau: (a) yêu cầu lãi chậm trả tính trên số tiền chậm thanh toán với mức 1,5%/tháng (tương đương 18%/năm), tính từ ngày đến hạn đến ngày Bên A thanh toán đầy đủ trên thực tế; trường hợp cơ quan có thẩm quyền xác định mức lãi này không được áp dụng, mức lãi sẽ được xác định theo Điều 306 Luật Thương mại 2005 hoặc Điều 357 và Điều 468 Bộ luật Dân sự 2015, tùy quan hệ pháp luật được xác định; (b) yêu cầu Bên A thanh toán toàn bộ chi phí phát sinh hợp lý do việc chậm thanh toán gây ra, bao gồm nhưng không giới hạn chi phí thu hồi nợ, chi phí pháp lý, chi phí huy động/giải phóng nhân sự và chi phí bảo quản vật tư, thiết bị; (c) tạm ngừng toàn bộ hoặc một phần dịch vụ theo quy trình tại Khoản 3 Điều này; (d) đình chỉ hoặc chấm dứt hợp đồng theo Điều 15; (e) yêu cầu phạt vi phạm và/hoặc bồi thường thiệt hại theo Điều 16.</w:t>
      </w:r>
    </w:p>
    <w:p>
      <w:pPr>
        <w:spacing w:after="40" w:line="252" w:lineRule="auto"/>
        <w:ind w:left="198"/>
      </w:pPr>
      <w:r>
        <w:rPr>
          <w:rFonts w:ascii="Times New Roman" w:hAnsi="Times New Roman" w:eastAsia="Times New Roman"/>
          <w:b/>
          <w:sz w:val="22"/>
        </w:rPr>
        <w:t xml:space="preserve">3. </w:t>
      </w:r>
      <w:r>
        <w:rPr>
          <w:rFonts w:ascii="Times New Roman" w:hAnsi="Times New Roman" w:eastAsia="Times New Roman"/>
          <w:sz w:val="22"/>
        </w:rPr>
        <w:t>Quy trình tạm ngừng dịch vụ do chậm thanh toán: (a) khi Bên A chậm thanh toán quá 05 (năm) ngày làm việc, Bên B gửi thông báo bằng văn bản/email yêu cầu thanh toán trong 05 (năm) ngày làm việc kể từ ngày gửi thông báo (“Thời hạn Khắc phục”); (b) nếu hết Thời hạn Khắc phục mà Bên A vẫn chưa thanh toán đầy đủ, Bên B có quyền tạm ngừng toàn bộ hoặc một phần dịch vụ bằng thông báo tạm ngừng gửi cho Bên A; thông báo có hiệu lực khi Bên A nhận được hoặc được xem là đã nhận theo Điều 14; (c) trong thời gian tạm ngừng, Bên B không chịu trách nhiệm về hư hỏng, sự cố, tổn thất phát sinh đối với thiết bị/hệ thống do không được bảo trì, bảo dưỡng theo lịch, trừ lỗi cố ý của Bên B; (d) dịch vụ được tiếp tục sau khi Bên A thanh toán đầy đủ tiền còn nợ, lãi chậm trả và chi phí phát sinh hợp lý; lịch bảo trì bị hoãn được dời tương ứng và không được xem là Bên B chậm thực hiện.</w:t>
      </w:r>
    </w:p>
    <w:p>
      <w:pPr>
        <w:spacing w:after="40" w:line="252" w:lineRule="auto"/>
        <w:ind w:left="198"/>
      </w:pPr>
      <w:r>
        <w:rPr>
          <w:rFonts w:ascii="Times New Roman" w:hAnsi="Times New Roman" w:eastAsia="Times New Roman"/>
          <w:b/>
          <w:sz w:val="22"/>
        </w:rPr>
        <w:t xml:space="preserve">4. </w:t>
      </w:r>
      <w:r>
        <w:rPr>
          <w:rFonts w:ascii="Times New Roman" w:hAnsi="Times New Roman" w:eastAsia="Times New Roman"/>
          <w:sz w:val="22"/>
        </w:rPr>
        <w:t>Việc Bên B thực hiện các quyền tại Điều này không bị coi là vi phạm hợp đồng và không làm mất quyền yêu cầu bồi thường thiệt hại, phạt vi phạm hoặc các quyền khác theo Hợp đồng/pháp luật.</w:t>
      </w:r>
    </w:p>
    <w:p>
      <w:pPr>
        <w:spacing w:after="80" w:line="259" w:lineRule="auto"/>
        <w:ind w:left="198"/>
      </w:pPr>
      <w:r>
        <w:rPr>
          <w:rFonts w:ascii="Times New Roman" w:hAnsi="Times New Roman" w:eastAsia="Times New Roman"/>
          <w:b w:val="0"/>
          <w:i/>
          <w:color w:val="555555"/>
          <w:sz w:val="18"/>
        </w:rPr>
        <w:t>Cơ sở pháp lý tham chiếu: LTM 2005: Điều 306 về lãi do chậm thanh toán; Điều 308 về tạm ngừng thực hiện hợp đồng; Điều 310, 311 về đình chỉ/hậu quả đình chỉ; BLDS 2015: Điều 351, 357, 411, 468; Nghị quyết 01/2019/NQ-HĐTP: hướng dẫn xác định lãi, lãi suất trong xét xử dân sự.</w:t>
      </w:r>
    </w:p>
    <w:p>
      <w:pPr>
        <w:spacing w:after="40" w:line="259" w:lineRule="auto"/>
      </w:pPr>
      <w:r>
        <w:rPr>
          <w:rFonts w:ascii="Times New Roman" w:hAnsi="Times New Roman" w:eastAsia="Times New Roman"/>
          <w:b/>
          <w:i w:val="0"/>
          <w:sz w:val="24"/>
        </w:rPr>
        <w:t>Điều 9. Bảo hành đối với phần sửa chữa, thay thế phát sinh</w:t>
      </w:r>
    </w:p>
    <w:p>
      <w:pPr>
        <w:spacing w:after="40" w:line="252" w:lineRule="auto"/>
        <w:ind w:left="198"/>
      </w:pPr>
      <w:r>
        <w:rPr>
          <w:rFonts w:ascii="Times New Roman" w:hAnsi="Times New Roman" w:eastAsia="Times New Roman"/>
          <w:b/>
          <w:sz w:val="22"/>
        </w:rPr>
        <w:t xml:space="preserve">1. </w:t>
      </w:r>
      <w:r>
        <w:rPr>
          <w:rFonts w:ascii="Times New Roman" w:hAnsi="Times New Roman" w:eastAsia="Times New Roman"/>
          <w:sz w:val="22"/>
        </w:rPr>
        <w:t>Các hạng mục sửa chữa, thay thế phát sinh chỉ được bảo hành khi có thỏa thuận bằng văn bản, bao gồm email xác nhận, giữa hai bên về thời hạn và phạm vi bảo hành cụ thể. Thời hạn bảo hành, nếu có, được tính từ ngày Bên A ký xác nhận nghiệm thu hạng mục sửa chữa/thay thế đó. Trường hợp không có thỏa thuận bằng văn bản về bảo hành, Bên B không có nghĩa vụ bảo hành đối với hạng mục sửa chữa, thay thế phát sinh.</w:t>
      </w:r>
    </w:p>
    <w:p>
      <w:pPr>
        <w:spacing w:after="40" w:line="252" w:lineRule="auto"/>
        <w:ind w:left="198"/>
      </w:pPr>
      <w:r>
        <w:rPr>
          <w:rFonts w:ascii="Times New Roman" w:hAnsi="Times New Roman" w:eastAsia="Times New Roman"/>
          <w:b/>
          <w:sz w:val="22"/>
        </w:rPr>
        <w:t xml:space="preserve">2. </w:t>
      </w:r>
      <w:r>
        <w:rPr>
          <w:rFonts w:ascii="Times New Roman" w:hAnsi="Times New Roman" w:eastAsia="Times New Roman"/>
          <w:sz w:val="22"/>
        </w:rPr>
        <w:t>Phạm vi bảo hành chỉ bao gồm lỗi kỹ thuật phát sinh trực tiếp từ công việc sửa chữa, thay thế do Bên B thực hiện; không bao gồm lỗi/hư hỏng do vận hành sai, sử dụng sai hướng dẫn, bên thứ ba can thiệp/sửa chữa/thay đổi mà không có sự đồng ý của Bên B, thiên tai, hỏa hoạn, sự cố điện vượt thông số kỹ thuật thông thường, ngập nước, hóa chất, côn trùng, hao mòn tự nhiên hoặc nguyên nhân ngoài phạm vi trách nhiệm của Bên B.</w:t>
      </w:r>
    </w:p>
    <w:p>
      <w:pPr>
        <w:spacing w:after="40" w:line="252" w:lineRule="auto"/>
        <w:ind w:left="198"/>
      </w:pPr>
      <w:r>
        <w:rPr>
          <w:rFonts w:ascii="Times New Roman" w:hAnsi="Times New Roman" w:eastAsia="Times New Roman"/>
          <w:b/>
          <w:sz w:val="22"/>
        </w:rPr>
        <w:t xml:space="preserve">3. </w:t>
      </w:r>
      <w:r>
        <w:rPr>
          <w:rFonts w:ascii="Times New Roman" w:hAnsi="Times New Roman" w:eastAsia="Times New Roman"/>
          <w:sz w:val="22"/>
        </w:rPr>
        <w:t>Bên A phải thông báo bằng văn bản/email cho Bên B trong vòng 07 (bảy) ngày kể từ khi phát hiện lỗi thuộc phạm vi bảo hành; quá thời hạn này, Bên B có quyền từ chối bảo hành nếu việc chậm thông báo làm tăng thiệt hại hoặc không còn đủ căn cứ xác định nguyên nhân lỗi.</w:t>
      </w:r>
    </w:p>
    <w:p>
      <w:pPr>
        <w:spacing w:after="40" w:line="252" w:lineRule="auto"/>
        <w:ind w:left="198"/>
      </w:pPr>
      <w:r>
        <w:rPr>
          <w:rFonts w:ascii="Times New Roman" w:hAnsi="Times New Roman" w:eastAsia="Times New Roman"/>
          <w:b/>
          <w:sz w:val="22"/>
        </w:rPr>
        <w:t xml:space="preserve">4. </w:t>
      </w:r>
      <w:r>
        <w:rPr>
          <w:rFonts w:ascii="Times New Roman" w:hAnsi="Times New Roman" w:eastAsia="Times New Roman"/>
          <w:sz w:val="22"/>
        </w:rPr>
        <w:t>Bên B không chịu trách nhiệm bảo hành đối với hạng mục/thiết bị mà Bên A chưa thanh toán đầy đủ theo thỏa thuận liên quan, trừ khi hai bên có thỏa thuận khác bằng văn bản.</w:t>
      </w:r>
    </w:p>
    <w:p>
      <w:pPr>
        <w:spacing w:after="80" w:line="259" w:lineRule="auto"/>
        <w:ind w:left="198"/>
      </w:pPr>
      <w:r>
        <w:rPr>
          <w:rFonts w:ascii="Times New Roman" w:hAnsi="Times New Roman" w:eastAsia="Times New Roman"/>
          <w:b w:val="0"/>
          <w:i/>
          <w:color w:val="555555"/>
          <w:sz w:val="18"/>
        </w:rPr>
        <w:t>Cơ sở pháp lý tham chiếu: BLDS 2015: Điều 446 về bảo đảm chất lượng/bảo hành trong mua bán tài sản; LTM 2005: Điều 49 về nghĩa vụ bảo hành hàng hóa; BLDS 2015: Điều 351 về trách nhiệm do vi phạm nghĩa vụ; Điều 405, 406 về điều kiện giao dịch chung/hợp đồng theo mẫu.</w:t>
      </w:r>
    </w:p>
    <w:p>
      <w:pPr>
        <w:spacing w:after="40" w:line="259" w:lineRule="auto"/>
      </w:pPr>
      <w:r>
        <w:rPr>
          <w:rFonts w:ascii="Times New Roman" w:hAnsi="Times New Roman" w:eastAsia="Times New Roman"/>
          <w:b/>
          <w:i w:val="0"/>
          <w:sz w:val="24"/>
        </w:rPr>
        <w:t>Điều 10. An toàn, tiếp cận thiết bị và lưu hồ sơ bảo trì</w:t>
      </w:r>
    </w:p>
    <w:p>
      <w:pPr>
        <w:spacing w:after="40" w:line="252" w:lineRule="auto"/>
        <w:ind w:left="198"/>
      </w:pPr>
      <w:r>
        <w:rPr>
          <w:rFonts w:ascii="Times New Roman" w:hAnsi="Times New Roman" w:eastAsia="Times New Roman"/>
          <w:b/>
          <w:sz w:val="22"/>
        </w:rPr>
        <w:t xml:space="preserve">1. </w:t>
      </w:r>
      <w:r>
        <w:rPr>
          <w:rFonts w:ascii="Times New Roman" w:hAnsi="Times New Roman" w:eastAsia="Times New Roman"/>
          <w:sz w:val="22"/>
        </w:rPr>
        <w:t>Đối với công việc bảo trì, sửa chữa tại hiện trường, các bên phối hợp bảo đảm an toàn lao động, an toàn điện, PCCC, vệ sinh công nghiệp và bảo vệ tài sản tại khu vực thực hiện.</w:t>
      </w:r>
    </w:p>
    <w:p>
      <w:pPr>
        <w:spacing w:after="40" w:line="252" w:lineRule="auto"/>
        <w:ind w:left="198"/>
      </w:pPr>
      <w:r>
        <w:rPr>
          <w:rFonts w:ascii="Times New Roman" w:hAnsi="Times New Roman" w:eastAsia="Times New Roman"/>
          <w:b/>
          <w:sz w:val="22"/>
        </w:rPr>
        <w:t xml:space="preserve">2. </w:t>
      </w:r>
      <w:r>
        <w:rPr>
          <w:rFonts w:ascii="Times New Roman" w:hAnsi="Times New Roman" w:eastAsia="Times New Roman"/>
          <w:sz w:val="22"/>
        </w:rPr>
        <w:t>Nếu phát sinh điều kiện thi công/bảo trì không an toàn, không đủ điều kiện tiếp cận hoặc vượt ngoài phạm vi khảo sát, Bên B có quyền tạm dừng để yêu cầu xác nhận phương án xử lý, chi phí và tiến độ điều chỉnh.</w:t>
      </w:r>
    </w:p>
    <w:p>
      <w:pPr>
        <w:spacing w:after="40" w:line="252" w:lineRule="auto"/>
        <w:ind w:left="198"/>
      </w:pPr>
      <w:r>
        <w:rPr>
          <w:rFonts w:ascii="Times New Roman" w:hAnsi="Times New Roman" w:eastAsia="Times New Roman"/>
          <w:b/>
          <w:sz w:val="22"/>
        </w:rPr>
        <w:t xml:space="preserve">3. </w:t>
      </w:r>
      <w:r>
        <w:rPr>
          <w:rFonts w:ascii="Times New Roman" w:hAnsi="Times New Roman" w:eastAsia="Times New Roman"/>
          <w:sz w:val="22"/>
        </w:rPr>
        <w:t>Biên bản bảo trì, hình ảnh trước/sau, checklist kỹ thuật, thông số đo kiểm, khuyến nghị xử lý và xác nhận của đại diện Bên A được xem là một phần hồ sơ thực hiện hợp đồng.</w:t>
      </w:r>
    </w:p>
    <w:p>
      <w:pPr>
        <w:spacing w:after="40" w:line="259" w:lineRule="auto"/>
      </w:pPr>
      <w:r>
        <w:rPr>
          <w:rFonts w:ascii="Times New Roman" w:hAnsi="Times New Roman" w:eastAsia="Times New Roman"/>
          <w:b/>
          <w:i w:val="0"/>
          <w:sz w:val="24"/>
        </w:rPr>
        <w:t>Điều 11. Chính sách thuế, hóa đơn và chứng từ</w:t>
      </w:r>
    </w:p>
    <w:p>
      <w:pPr>
        <w:spacing w:after="40" w:line="252" w:lineRule="auto"/>
        <w:ind w:left="198"/>
      </w:pPr>
      <w:r>
        <w:rPr>
          <w:rFonts w:ascii="Times New Roman" w:hAnsi="Times New Roman" w:eastAsia="Times New Roman"/>
          <w:b/>
          <w:sz w:val="22"/>
        </w:rPr>
        <w:t xml:space="preserve">1. </w:t>
      </w:r>
      <w:r>
        <w:rPr>
          <w:rFonts w:ascii="Times New Roman" w:hAnsi="Times New Roman" w:eastAsia="Times New Roman"/>
          <w:sz w:val="22"/>
        </w:rPr>
        <w:t>Thuế VAT, hóa đơn, chứng từ điện tử và các nghĩa vụ tài chính được thực hiện theo quy định pháp luật hiện hành và thông tin trên báo giá/phụ lục/hóa đơn từng giao dịch.</w:t>
      </w:r>
    </w:p>
    <w:p>
      <w:pPr>
        <w:spacing w:after="40" w:line="252" w:lineRule="auto"/>
        <w:ind w:left="198"/>
      </w:pPr>
      <w:r>
        <w:rPr>
          <w:rFonts w:ascii="Times New Roman" w:hAnsi="Times New Roman" w:eastAsia="Times New Roman"/>
          <w:b/>
          <w:sz w:val="22"/>
        </w:rPr>
        <w:t xml:space="preserve">2. </w:t>
      </w:r>
      <w:r>
        <w:rPr>
          <w:rFonts w:ascii="Times New Roman" w:hAnsi="Times New Roman" w:eastAsia="Times New Roman"/>
          <w:sz w:val="22"/>
        </w:rPr>
        <w:t>Nếu chính sách thuế, phí, lệ phí, hóa đơn hoặc quy định quản lý nhà nước thay đổi làm ảnh hưởng đến giá trị, hồ sơ hoặc thời điểm thực hiện, hai bên phối hợp điều chỉnh chứng từ và nghĩa vụ liên quan trên cơ sở văn bản pháp luật có hiệu lực tại thời điểm phát sinh.</w:t>
      </w:r>
    </w:p>
    <w:p>
      <w:pPr>
        <w:spacing w:after="40" w:line="252" w:lineRule="auto"/>
        <w:ind w:left="198"/>
      </w:pPr>
      <w:r>
        <w:rPr>
          <w:rFonts w:ascii="Times New Roman" w:hAnsi="Times New Roman" w:eastAsia="Times New Roman"/>
          <w:b/>
          <w:sz w:val="22"/>
        </w:rPr>
        <w:t xml:space="preserve">3. </w:t>
      </w:r>
      <w:r>
        <w:rPr>
          <w:rFonts w:ascii="Times New Roman" w:hAnsi="Times New Roman" w:eastAsia="Times New Roman"/>
          <w:sz w:val="22"/>
        </w:rPr>
        <w:t>Bên A có trách nhiệm cung cấp thông tin xuất hóa đơn chính xác trước thời điểm Bên B lập hóa đơn. Nếu thông tin sai do Bên A cung cấp, chi phí điều chỉnh/hủy/thay thế hóa đơn, nếu có, do Bên A chịu.</w:t>
      </w:r>
    </w:p>
    <w:p>
      <w:pPr>
        <w:spacing w:after="40" w:line="259" w:lineRule="auto"/>
      </w:pPr>
      <w:r>
        <w:rPr>
          <w:rFonts w:ascii="Times New Roman" w:hAnsi="Times New Roman" w:eastAsia="Times New Roman"/>
          <w:b/>
          <w:i w:val="0"/>
          <w:sz w:val="24"/>
        </w:rPr>
        <w:t>Điều 12. Bảo mật thông tin và dữ liệu hồ sơ</w:t>
      </w:r>
    </w:p>
    <w:p>
      <w:pPr>
        <w:spacing w:after="40" w:line="252" w:lineRule="auto"/>
        <w:ind w:left="198"/>
      </w:pPr>
      <w:r>
        <w:rPr>
          <w:rFonts w:ascii="Times New Roman" w:hAnsi="Times New Roman" w:eastAsia="Times New Roman"/>
          <w:b/>
          <w:sz w:val="22"/>
        </w:rPr>
        <w:t xml:space="preserve">1. </w:t>
      </w:r>
      <w:r>
        <w:rPr>
          <w:rFonts w:ascii="Times New Roman" w:hAnsi="Times New Roman" w:eastAsia="Times New Roman"/>
          <w:sz w:val="22"/>
        </w:rPr>
        <w:t>Mọi thông tin về giá, bảng giá, bản vẽ, quy trình kỹ thuật, danh sách khách hàng, hồ sơ công trình, hình ảnh hiện trường, tài liệu nội bộ, thông tin kinh doanh và dữ liệu bảo trì của mỗi bên được xem là thông tin bảo mật, trừ khi thông tin đã công khai hợp pháp.</w:t>
      </w:r>
    </w:p>
    <w:p>
      <w:pPr>
        <w:spacing w:after="40" w:line="252" w:lineRule="auto"/>
        <w:ind w:left="198"/>
      </w:pPr>
      <w:r>
        <w:rPr>
          <w:rFonts w:ascii="Times New Roman" w:hAnsi="Times New Roman" w:eastAsia="Times New Roman"/>
          <w:b/>
          <w:sz w:val="22"/>
        </w:rPr>
        <w:t xml:space="preserve">2. </w:t>
      </w:r>
      <w:r>
        <w:rPr>
          <w:rFonts w:ascii="Times New Roman" w:hAnsi="Times New Roman" w:eastAsia="Times New Roman"/>
          <w:sz w:val="22"/>
        </w:rPr>
        <w:t>Các bên không được tiết lộ thông tin bảo mật cho bên thứ ba nếu không có sự đồng ý bằng văn bản của bên còn lại, trừ trường hợp cung cấp cho cơ quan nhà nước có thẩm quyền hoặc đơn vị tư vấn/hỗ trợ có nghĩa vụ bảo mật tương đương và chỉ trong phạm vi cần thiết.</w:t>
      </w:r>
    </w:p>
    <w:p>
      <w:pPr>
        <w:spacing w:after="40" w:line="252" w:lineRule="auto"/>
        <w:ind w:left="198"/>
      </w:pPr>
      <w:r>
        <w:rPr>
          <w:rFonts w:ascii="Times New Roman" w:hAnsi="Times New Roman" w:eastAsia="Times New Roman"/>
          <w:b/>
          <w:sz w:val="22"/>
        </w:rPr>
        <w:t xml:space="preserve">3. </w:t>
      </w:r>
      <w:r>
        <w:rPr>
          <w:rFonts w:ascii="Times New Roman" w:hAnsi="Times New Roman" w:eastAsia="Times New Roman"/>
          <w:sz w:val="22"/>
        </w:rPr>
        <w:t>Nghĩa vụ bảo mật tiếp tục có hiệu lực trong vòng 24 (hai mươi bốn) tháng sau khi hợp đồng chấm dứt vì bất kỳ lý do gì, trừ khi pháp luật yêu cầu thời hạn dài hơn hoặc thông tin thuộc bí mật kinh doanh cần bảo vệ lâu hơn theo tính chất thông tin.</w:t>
      </w:r>
    </w:p>
    <w:p>
      <w:pPr>
        <w:spacing w:after="40" w:line="252" w:lineRule="auto"/>
        <w:ind w:left="198"/>
      </w:pPr>
      <w:r>
        <w:rPr>
          <w:rFonts w:ascii="Times New Roman" w:hAnsi="Times New Roman" w:eastAsia="Times New Roman"/>
          <w:b/>
          <w:sz w:val="22"/>
        </w:rPr>
        <w:t xml:space="preserve">4. </w:t>
      </w:r>
      <w:r>
        <w:rPr>
          <w:rFonts w:ascii="Times New Roman" w:hAnsi="Times New Roman" w:eastAsia="Times New Roman"/>
          <w:sz w:val="22"/>
        </w:rPr>
        <w:t>Nếu vi phạm bảo mật, bên vi phạm phải: (a) ngay lập tức chấm dứt hành vi vi phạm và thu hồi thông tin bảo mật đã tiết lộ trong phạm vi có thể; (b) bồi thường toàn bộ thiệt hại thực tế, trực tiếp và hợp lý mà bên bị vi phạm phải gánh chịu, bao gồm chi phí pháp lý, chi phí khắc phục và tổn thất kinh doanh chứng minh được; (c) chịu phạt vi phạm bằng 8% giá trị phần nghĩa vụ bảo mật bị vi phạm; nếu không xác định được giá trị phần nghĩa vụ bị vi phạm thì áp dụng 8% tổng giá trị hợp đồng tại thời điểm vi phạm, nhưng trong mọi trường hợp không vượt quá giới hạn pháp luật cho phép.</w:t>
      </w:r>
    </w:p>
    <w:p>
      <w:pPr>
        <w:spacing w:after="40" w:line="252" w:lineRule="auto"/>
        <w:ind w:left="198"/>
      </w:pPr>
      <w:r>
        <w:rPr>
          <w:rFonts w:ascii="Times New Roman" w:hAnsi="Times New Roman" w:eastAsia="Times New Roman"/>
          <w:b/>
          <w:sz w:val="22"/>
        </w:rPr>
        <w:t xml:space="preserve">5. </w:t>
      </w:r>
      <w:r>
        <w:rPr>
          <w:rFonts w:ascii="Times New Roman" w:hAnsi="Times New Roman" w:eastAsia="Times New Roman"/>
          <w:sz w:val="22"/>
        </w:rPr>
        <w:t>Bên bị vi phạm có quyền yêu cầu cơ quan có thẩm quyền áp dụng biện pháp khẩn cấp tạm thời hoặc biện pháp bảo vệ phù hợp nhằm ngăn chặn, thu hồi hoặc hạn chế việc tiếp tục tiết lộ/sử dụng trái phép thông tin bảo mật.</w:t>
      </w:r>
    </w:p>
    <w:p>
      <w:pPr>
        <w:spacing w:after="80" w:line="259" w:lineRule="auto"/>
        <w:ind w:left="198"/>
      </w:pPr>
      <w:r>
        <w:rPr>
          <w:rFonts w:ascii="Times New Roman" w:hAnsi="Times New Roman" w:eastAsia="Times New Roman"/>
          <w:b w:val="0"/>
          <w:i/>
          <w:color w:val="555555"/>
          <w:sz w:val="18"/>
        </w:rPr>
        <w:t>Cơ sở pháp lý tham chiếu: BLDS 2015: Điều 387 về nghĩa vụ cung cấp thông tin và bảo mật; Điều 351 về trách nhiệm dân sự do vi phạm nghĩa vụ; LTM 2005: Điều 300, 301, 307 về phạt vi phạm và bồi thường; BLTTDS 2015: quy định về biện pháp khẩn cấp tạm thời.</w:t>
      </w:r>
    </w:p>
    <w:p>
      <w:pPr>
        <w:spacing w:after="40" w:line="259" w:lineRule="auto"/>
      </w:pPr>
      <w:r>
        <w:rPr>
          <w:rFonts w:ascii="Times New Roman" w:hAnsi="Times New Roman" w:eastAsia="Times New Roman"/>
          <w:b/>
          <w:i w:val="0"/>
          <w:sz w:val="24"/>
        </w:rPr>
        <w:t>Điều 13. Tuân thủ pháp luật, chống hối lộ và xung đột lợi ích</w:t>
      </w:r>
    </w:p>
    <w:p>
      <w:pPr>
        <w:spacing w:after="40" w:line="252" w:lineRule="auto"/>
        <w:ind w:left="198"/>
      </w:pPr>
      <w:r>
        <w:rPr>
          <w:rFonts w:ascii="Times New Roman" w:hAnsi="Times New Roman" w:eastAsia="Times New Roman"/>
          <w:b/>
          <w:sz w:val="22"/>
        </w:rPr>
        <w:t xml:space="preserve">1. </w:t>
      </w:r>
      <w:r>
        <w:rPr>
          <w:rFonts w:ascii="Times New Roman" w:hAnsi="Times New Roman" w:eastAsia="Times New Roman"/>
          <w:sz w:val="22"/>
        </w:rPr>
        <w:t>Hai bên cam kết tuân thủ pháp luật, không thực hiện hành vi hối lộ, thông đồng, gian lận, cạnh tranh không lành mạnh hoặc lợi dụng hợp đồng để thực hiện giao dịch trái pháp luật.</w:t>
      </w:r>
    </w:p>
    <w:p>
      <w:pPr>
        <w:spacing w:after="40" w:line="252" w:lineRule="auto"/>
        <w:ind w:left="198"/>
      </w:pPr>
      <w:r>
        <w:rPr>
          <w:rFonts w:ascii="Times New Roman" w:hAnsi="Times New Roman" w:eastAsia="Times New Roman"/>
          <w:b/>
          <w:sz w:val="22"/>
        </w:rPr>
        <w:t xml:space="preserve">2. </w:t>
      </w:r>
      <w:r>
        <w:rPr>
          <w:rFonts w:ascii="Times New Roman" w:hAnsi="Times New Roman" w:eastAsia="Times New Roman"/>
          <w:sz w:val="22"/>
        </w:rPr>
        <w:t>Mọi khoản chiết khấu, hoa hồng, hỗ trợ, phí bên thứ ba nếu có phải được ghi nhận minh bạch bằng văn bản hoặc chứng từ hợp lệ theo chính sách nội bộ và quy định pháp luật.</w:t>
      </w:r>
    </w:p>
    <w:p>
      <w:pPr>
        <w:spacing w:after="40" w:line="252" w:lineRule="auto"/>
        <w:ind w:left="198"/>
      </w:pPr>
      <w:r>
        <w:rPr>
          <w:rFonts w:ascii="Times New Roman" w:hAnsi="Times New Roman" w:eastAsia="Times New Roman"/>
          <w:b/>
          <w:sz w:val="22"/>
        </w:rPr>
        <w:t xml:space="preserve">3. </w:t>
      </w:r>
      <w:r>
        <w:rPr>
          <w:rFonts w:ascii="Times New Roman" w:hAnsi="Times New Roman" w:eastAsia="Times New Roman"/>
          <w:sz w:val="22"/>
        </w:rPr>
        <w:t>Bên nào phát hiện nguy cơ xung đột lợi ích hoặc yêu cầu không phù hợp phải thông báo cho bên còn lại để xử lý trước khi tiếp tục thực hiện.</w:t>
      </w:r>
    </w:p>
    <w:p>
      <w:pPr>
        <w:spacing w:after="40" w:line="259" w:lineRule="auto"/>
      </w:pPr>
      <w:r>
        <w:rPr>
          <w:rFonts w:ascii="Times New Roman" w:hAnsi="Times New Roman" w:eastAsia="Times New Roman"/>
          <w:b/>
          <w:i w:val="0"/>
          <w:sz w:val="24"/>
        </w:rPr>
        <w:t>Điều 14. Trao đổi điện tử, thông báo và lưu trữ hồ sơ</w:t>
      </w:r>
    </w:p>
    <w:p>
      <w:pPr>
        <w:spacing w:after="40" w:line="252" w:lineRule="auto"/>
        <w:ind w:left="198"/>
      </w:pPr>
      <w:r>
        <w:rPr>
          <w:rFonts w:ascii="Times New Roman" w:hAnsi="Times New Roman" w:eastAsia="Times New Roman"/>
          <w:b/>
          <w:sz w:val="22"/>
        </w:rPr>
        <w:t xml:space="preserve">1. </w:t>
      </w:r>
      <w:r>
        <w:rPr>
          <w:rFonts w:ascii="Times New Roman" w:hAnsi="Times New Roman" w:eastAsia="Times New Roman"/>
          <w:sz w:val="22"/>
        </w:rPr>
        <w:t>Thông báo, xác nhận, yêu cầu phát sinh, chấp thuận báo giá, xác nhận lịch bảo trì, xác nhận sửa chữa hoặc các trao đổi nghiệp vụ qua email, tin nhắn, hệ thống quản lý công việc hoặc văn bản điện tử được xem là căn cứ tham chiếu có giá trị pháp lý nếu xác định được người gửi, thời điểm gửi và nội dung trao đổi, phù hợp với quy định về thông điệp dữ liệu.</w:t>
      </w:r>
    </w:p>
    <w:p>
      <w:pPr>
        <w:spacing w:after="40" w:line="252" w:lineRule="auto"/>
        <w:ind w:left="198"/>
      </w:pPr>
      <w:r>
        <w:rPr>
          <w:rFonts w:ascii="Times New Roman" w:hAnsi="Times New Roman" w:eastAsia="Times New Roman"/>
          <w:b/>
          <w:sz w:val="22"/>
        </w:rPr>
        <w:t xml:space="preserve">2. </w:t>
      </w:r>
      <w:r>
        <w:rPr>
          <w:rFonts w:ascii="Times New Roman" w:hAnsi="Times New Roman" w:eastAsia="Times New Roman"/>
          <w:sz w:val="22"/>
        </w:rPr>
        <w:t>Để bảo đảm giá trị chứng cứ, mỗi bên có trách nhiệm: (a) lưu trữ đầy đủ toàn bộ trao đổi điện tử liên quan đến hợp đồng trong suốt thời hạn hợp đồng và ít nhất 03 (ba) năm sau khi hợp đồng chấm dứt; (b) không xóa, chỉnh sửa nội dung trao đổi điện tử đã gửi/nhận; (c) khi cần thiết, xuất log hệ thống, email header, screenshot có metadata, thời gian, địa chỉ IP, tên tài khoản hoặc thông tin kỹ thuật tương đương để xác thực trao đổi điện tử.</w:t>
      </w:r>
    </w:p>
    <w:p>
      <w:pPr>
        <w:spacing w:after="40" w:line="252" w:lineRule="auto"/>
        <w:ind w:left="198"/>
      </w:pPr>
      <w:r>
        <w:rPr>
          <w:rFonts w:ascii="Times New Roman" w:hAnsi="Times New Roman" w:eastAsia="Times New Roman"/>
          <w:b/>
          <w:sz w:val="22"/>
        </w:rPr>
        <w:t xml:space="preserve">3. </w:t>
      </w:r>
      <w:r>
        <w:rPr>
          <w:rFonts w:ascii="Times New Roman" w:hAnsi="Times New Roman" w:eastAsia="Times New Roman"/>
          <w:sz w:val="22"/>
        </w:rPr>
        <w:t>Trao đổi điện tử được coi là đã nhận khi đến địa chỉ email/tài khoản/hệ thống của bên nhận và không có thông báo lỗi gửi lại trong vòng 24 (hai mươi bốn) giờ. Thông báo gửi sau 17:00 hoặc vào ngày nghỉ được xem là nhận vào ngày làm việc kế tiếp, trừ trường hợp hai bên có xác nhận khác.</w:t>
      </w:r>
    </w:p>
    <w:p>
      <w:pPr>
        <w:spacing w:after="40" w:line="252" w:lineRule="auto"/>
        <w:ind w:left="198"/>
      </w:pPr>
      <w:r>
        <w:rPr>
          <w:rFonts w:ascii="Times New Roman" w:hAnsi="Times New Roman" w:eastAsia="Times New Roman"/>
          <w:b/>
          <w:sz w:val="22"/>
        </w:rPr>
        <w:t xml:space="preserve">4. </w:t>
      </w:r>
      <w:r>
        <w:rPr>
          <w:rFonts w:ascii="Times New Roman" w:hAnsi="Times New Roman" w:eastAsia="Times New Roman"/>
          <w:sz w:val="22"/>
        </w:rPr>
        <w:t>Các văn bản cần ký/đóng dấu như hợp đồng, phụ lục, nghiệm thu, quyết toán, đối chiếu công nợ và hồ sơ thanh toán được thực hiện bằng bản giấy hoặc bản điện tử có giá trị pháp lý tương đương nếu hai bên thống nhất. Trường hợp cần giá trị tương đương chữ ký tay/con dấu, hai bên ưu tiên sử dụng chữ ký số/chứng thư số hợp lệ.</w:t>
      </w:r>
    </w:p>
    <w:p>
      <w:pPr>
        <w:spacing w:after="40" w:line="252" w:lineRule="auto"/>
        <w:ind w:left="198"/>
      </w:pPr>
      <w:r>
        <w:rPr>
          <w:rFonts w:ascii="Times New Roman" w:hAnsi="Times New Roman" w:eastAsia="Times New Roman"/>
          <w:b/>
          <w:sz w:val="22"/>
        </w:rPr>
        <w:t xml:space="preserve">5. </w:t>
      </w:r>
      <w:r>
        <w:rPr>
          <w:rFonts w:ascii="Times New Roman" w:hAnsi="Times New Roman" w:eastAsia="Times New Roman"/>
          <w:sz w:val="22"/>
        </w:rPr>
        <w:t>Bên B được phép lưu trữ hồ sơ giao dịch, hình ảnh, checklist, thông tin kỹ thuật và dữ liệu liên hệ trong hệ thống quản trị nội bộ để phục vụ truy xuất chứng từ, bảo hành, bảo trì, kế toán, kiểm toán nội bộ và xử lý tranh chấp nếu có.</w:t>
      </w:r>
    </w:p>
    <w:p>
      <w:pPr>
        <w:spacing w:after="80" w:line="259" w:lineRule="auto"/>
        <w:ind w:left="198"/>
      </w:pPr>
      <w:r>
        <w:rPr>
          <w:rFonts w:ascii="Times New Roman" w:hAnsi="Times New Roman" w:eastAsia="Times New Roman"/>
          <w:b w:val="0"/>
          <w:i/>
          <w:color w:val="555555"/>
          <w:sz w:val="18"/>
        </w:rPr>
        <w:t>Cơ sở pháp lý tham chiếu: Luật Giao dịch điện tử 2023: Điều 8, 11 về giá trị pháp lý của thông điệp dữ liệu; Điều 23 về chữ ký điện tử/chữ ký số; BLTTDS 2015: Điều 93 về chứng cứ.</w:t>
      </w:r>
    </w:p>
    <w:p>
      <w:pPr>
        <w:spacing w:after="40" w:line="259" w:lineRule="auto"/>
      </w:pPr>
      <w:r>
        <w:rPr>
          <w:rFonts w:ascii="Times New Roman" w:hAnsi="Times New Roman" w:eastAsia="Times New Roman"/>
          <w:b/>
          <w:i w:val="0"/>
          <w:sz w:val="24"/>
        </w:rPr>
        <w:t>Điều 15. Tạm ngừng, đình chỉ và chấm dứt hợp đồng</w:t>
      </w:r>
    </w:p>
    <w:p>
      <w:pPr>
        <w:spacing w:after="40" w:line="252" w:lineRule="auto"/>
        <w:ind w:left="198"/>
      </w:pPr>
      <w:r>
        <w:rPr>
          <w:rFonts w:ascii="Times New Roman" w:hAnsi="Times New Roman" w:eastAsia="Times New Roman"/>
          <w:b/>
          <w:sz w:val="22"/>
        </w:rPr>
        <w:t xml:space="preserve">1. </w:t>
      </w:r>
      <w:r>
        <w:rPr>
          <w:rFonts w:ascii="Times New Roman" w:hAnsi="Times New Roman" w:eastAsia="Times New Roman"/>
          <w:sz w:val="22"/>
        </w:rPr>
        <w:t>Hợp đồng chấm dứt trong các trường hợp: (a) hết thời hạn và hai bên không ký gia hạn; (b) hai bên hoàn thành toàn bộ nghĩa vụ; (c) hai bên thỏa thuận chấm dứt bằng văn bản; (d) một bên vi phạm nghiêm trọng theo Khoản 2 hoặc Khoản 3 Điều này và không khắc phục trong thời hạn quy định tại Khoản 4; (e) trường hợp pháp luật bắt buộc.</w:t>
      </w:r>
    </w:p>
    <w:p>
      <w:pPr>
        <w:spacing w:after="40" w:line="252" w:lineRule="auto"/>
        <w:ind w:left="198"/>
      </w:pPr>
      <w:r>
        <w:rPr>
          <w:rFonts w:ascii="Times New Roman" w:hAnsi="Times New Roman" w:eastAsia="Times New Roman"/>
          <w:b/>
          <w:sz w:val="22"/>
        </w:rPr>
        <w:t xml:space="preserve">2. </w:t>
      </w:r>
      <w:r>
        <w:rPr>
          <w:rFonts w:ascii="Times New Roman" w:hAnsi="Times New Roman" w:eastAsia="Times New Roman"/>
          <w:sz w:val="22"/>
        </w:rPr>
        <w:t>Vi phạm nghiêm trọng của Bên A bao gồm nhưng không giới hạn: (i) chậm thanh toán quá 30 (ba mươi) ngày kể từ ngày đến hạn sau khi đã được thông báo theo Điều 8; (ii) cố tình cản trở hoặc không cho Bên B tiếp cận thiết bị/hệ thống để bảo trì theo lịch đã thỏa thuận quá 02 (hai) kỳ liên tiếp mà không có lý do chính đáng; (iii) vi phạm nghĩa vụ bảo mật theo Điều 12; (iv) tự ý can thiệp, tháo lắp, sửa chữa hoặc cho bên thứ ba can thiệp thiết bị/hệ thống mà không thông báo cho Bên B, gây hư hỏng nghiêm trọng; (v) yêu cầu Bên B thực hiện công việc trái pháp luật, không an toàn hoặc vượt phạm vi mà không xác nhận điều chỉnh.</w:t>
      </w:r>
    </w:p>
    <w:p>
      <w:pPr>
        <w:spacing w:after="40" w:line="252" w:lineRule="auto"/>
        <w:ind w:left="198"/>
      </w:pPr>
      <w:r>
        <w:rPr>
          <w:rFonts w:ascii="Times New Roman" w:hAnsi="Times New Roman" w:eastAsia="Times New Roman"/>
          <w:b/>
          <w:sz w:val="22"/>
        </w:rPr>
        <w:t xml:space="preserve">3. </w:t>
      </w:r>
      <w:r>
        <w:rPr>
          <w:rFonts w:ascii="Times New Roman" w:hAnsi="Times New Roman" w:eastAsia="Times New Roman"/>
          <w:sz w:val="22"/>
        </w:rPr>
        <w:t>Vi phạm nghiêm trọng của Bên B bao gồm: (i) không thực hiện bảo trì quá 02 (hai) kỳ liên tiếp theo lịch đã thỏa thuận mà không có lý do chính đáng hoặc không thông báo trước; (ii) cử nhân sự không có chuyên môn phù hợp thực hiện công việc gây hư hỏng thiết bị/hệ thống do lỗi của Bên B; (iii) vi phạm nghĩa vụ bảo mật theo Điều 12; (iv) từ chối thực hiện nghĩa vụ cốt lõi của hợp đồng mà không có căn cứ theo Hợp đồng/pháp luật.</w:t>
      </w:r>
    </w:p>
    <w:p>
      <w:pPr>
        <w:spacing w:after="40" w:line="252" w:lineRule="auto"/>
        <w:ind w:left="198"/>
      </w:pPr>
      <w:r>
        <w:rPr>
          <w:rFonts w:ascii="Times New Roman" w:hAnsi="Times New Roman" w:eastAsia="Times New Roman"/>
          <w:b/>
          <w:sz w:val="22"/>
        </w:rPr>
        <w:t xml:space="preserve">4. </w:t>
      </w:r>
      <w:r>
        <w:rPr>
          <w:rFonts w:ascii="Times New Roman" w:hAnsi="Times New Roman" w:eastAsia="Times New Roman"/>
          <w:sz w:val="22"/>
        </w:rPr>
        <w:t>Quy trình chấm dứt do vi phạm nghiêm trọng: (a) bên muốn chấm dứt gửi thông báo bằng văn bản/email cho bên vi phạm, nêu rõ hành vi vi phạm và yêu cầu khắc phục trong vòng 15 (mười lăm) ngày làm việc kể từ ngày nhận thông báo (“Thời hạn Khắc phục”); (b) nếu hết Thời hạn Khắc phục mà bên vi phạm không khắc phục hoặc không có kế hoạch khắc phục được bên kia chấp thuận bằng văn bản, bên không vi phạm có quyền gửi thông báo chấm dứt; thông báo chấm dứt có hiệu lực sau 05 (năm) ngày làm việc kể từ ngày gửi hoặc thời điểm khác ghi trong thông báo; (c) bên vi phạm phải thanh toán các khoản còn nợ, phạt vi phạm và bồi thường thiệt hại nếu có.</w:t>
      </w:r>
    </w:p>
    <w:p>
      <w:pPr>
        <w:spacing w:after="40" w:line="252" w:lineRule="auto"/>
        <w:ind w:left="198"/>
      </w:pPr>
      <w:r>
        <w:rPr>
          <w:rFonts w:ascii="Times New Roman" w:hAnsi="Times New Roman" w:eastAsia="Times New Roman"/>
          <w:b/>
          <w:sz w:val="22"/>
        </w:rPr>
        <w:t xml:space="preserve">5. </w:t>
      </w:r>
      <w:r>
        <w:rPr>
          <w:rFonts w:ascii="Times New Roman" w:hAnsi="Times New Roman" w:eastAsia="Times New Roman"/>
          <w:sz w:val="22"/>
        </w:rPr>
        <w:t>Việc tạm ngừng, đình chỉ hoặc chấm dứt không làm mất hiệu lực đối với các nghĩa vụ đã phát sinh trước thời điểm chấm dứt, bao gồm nghĩa vụ thanh toán, bảo hành đối với phần đã được bảo hành hợp lệ, bảo mật, lưu trữ hồ sơ, giải quyết tranh chấp và các nghĩa vụ có tính chất tiếp tục tồn tại.</w:t>
      </w:r>
    </w:p>
    <w:p>
      <w:pPr>
        <w:spacing w:after="80" w:line="259" w:lineRule="auto"/>
        <w:ind w:left="198"/>
      </w:pPr>
      <w:r>
        <w:rPr>
          <w:rFonts w:ascii="Times New Roman" w:hAnsi="Times New Roman" w:eastAsia="Times New Roman"/>
          <w:b w:val="0"/>
          <w:i/>
          <w:color w:val="555555"/>
          <w:sz w:val="18"/>
        </w:rPr>
        <w:t>Cơ sở pháp lý tham chiếu: BLDS 2015: Điều 423, 424 về hủy bỏ hợp đồng; Điều 428 về đơn phương chấm dứt; Điều 351 về trách nhiệm do vi phạm; LTM 2005: Điều 308, 310, 311 về tạm ngừng/đình chỉ thực hiện hợp đồng và hậu quả pháp lý.</w:t>
      </w:r>
    </w:p>
    <w:p>
      <w:pPr>
        <w:spacing w:after="40" w:line="259" w:lineRule="auto"/>
      </w:pPr>
      <w:r>
        <w:rPr>
          <w:rFonts w:ascii="Times New Roman" w:hAnsi="Times New Roman" w:eastAsia="Times New Roman"/>
          <w:b/>
          <w:i w:val="0"/>
          <w:sz w:val="24"/>
        </w:rPr>
        <w:t>Điều 16. Phạt vi phạm, bồi thường thiệt hại và giới hạn trách nhiệm</w:t>
      </w:r>
    </w:p>
    <w:p>
      <w:pPr>
        <w:spacing w:after="40" w:line="252" w:lineRule="auto"/>
        <w:ind w:left="198"/>
      </w:pPr>
      <w:r>
        <w:rPr>
          <w:rFonts w:ascii="Times New Roman" w:hAnsi="Times New Roman" w:eastAsia="Times New Roman"/>
          <w:b/>
          <w:sz w:val="22"/>
        </w:rPr>
        <w:t xml:space="preserve">1. </w:t>
      </w:r>
      <w:r>
        <w:rPr>
          <w:rFonts w:ascii="Times New Roman" w:hAnsi="Times New Roman" w:eastAsia="Times New Roman"/>
          <w:sz w:val="22"/>
        </w:rPr>
        <w:t>Trừ trường hợp có thỏa thuận khác trong Phụ lục hoặc báo giá cụ thể, nếu Bên A vi phạm nghĩa vụ thanh toán, nghĩa vụ phối hợp, nghĩa vụ bàn giao điều kiện tiếp cận, nghĩa vụ bảo mật hoặc nghĩa vụ khác theo Hợp đồng, Bên A chịu phạt vi phạm bằng 8% giá trị phần nghĩa vụ bị vi phạm hoặc phần dịch vụ/công việc bị ảnh hưởng trực tiếp bởi hành vi vi phạm, trong giới hạn pháp luật cho phép.</w:t>
      </w:r>
    </w:p>
    <w:p>
      <w:pPr>
        <w:spacing w:after="40" w:line="252" w:lineRule="auto"/>
        <w:ind w:left="198"/>
      </w:pPr>
      <w:r>
        <w:rPr>
          <w:rFonts w:ascii="Times New Roman" w:hAnsi="Times New Roman" w:eastAsia="Times New Roman"/>
          <w:b/>
          <w:sz w:val="22"/>
        </w:rPr>
        <w:t xml:space="preserve">2. </w:t>
      </w:r>
      <w:r>
        <w:rPr>
          <w:rFonts w:ascii="Times New Roman" w:hAnsi="Times New Roman" w:eastAsia="Times New Roman"/>
          <w:sz w:val="22"/>
        </w:rPr>
        <w:t>Nếu Bên B vi phạm nghĩa vụ thực hiện dịch vụ do lỗi của Bên B và không thuộc trường hợp được miễn trách nhiệm/tạm ngừng theo Hợp đồng, Bên B chịu phạt vi phạm bằng 5% giá trị phần nghĩa vụ bị vi phạm hoặc phần dịch vụ/công việc bị ảnh hưởng trực tiếp bởi hành vi vi phạm, trong giới hạn pháp luật cho phép.</w:t>
      </w:r>
    </w:p>
    <w:p>
      <w:pPr>
        <w:spacing w:after="40" w:line="252" w:lineRule="auto"/>
        <w:ind w:left="198"/>
      </w:pPr>
      <w:r>
        <w:rPr>
          <w:rFonts w:ascii="Times New Roman" w:hAnsi="Times New Roman" w:eastAsia="Times New Roman"/>
          <w:b/>
          <w:sz w:val="22"/>
        </w:rPr>
        <w:t xml:space="preserve">3. </w:t>
      </w:r>
      <w:r>
        <w:rPr>
          <w:rFonts w:ascii="Times New Roman" w:hAnsi="Times New Roman" w:eastAsia="Times New Roman"/>
          <w:sz w:val="22"/>
        </w:rPr>
        <w:t>Việc áp dụng phạt vi phạm không loại trừ quyền yêu cầu bồi thường thiệt hại thực tế, trực tiếp và hợp lý. Bên yêu cầu bồi thường có nghĩa vụ chứng minh thiệt hại thực tế, hành vi vi phạm và quan hệ nhân quả giữa hành vi vi phạm và thiệt hại.</w:t>
      </w:r>
    </w:p>
    <w:p>
      <w:pPr>
        <w:spacing w:after="40" w:line="252" w:lineRule="auto"/>
        <w:ind w:left="198"/>
      </w:pPr>
      <w:r>
        <w:rPr>
          <w:rFonts w:ascii="Times New Roman" w:hAnsi="Times New Roman" w:eastAsia="Times New Roman"/>
          <w:b/>
          <w:sz w:val="22"/>
        </w:rPr>
        <w:t xml:space="preserve">4. </w:t>
      </w:r>
      <w:r>
        <w:rPr>
          <w:rFonts w:ascii="Times New Roman" w:hAnsi="Times New Roman" w:eastAsia="Times New Roman"/>
          <w:sz w:val="22"/>
        </w:rPr>
        <w:t>Trừ trường hợp vi phạm bảo mật, gian lận, cố ý vi phạm, hối lộ hoặc thiệt hại do lỗi cố ý, tổng trách nhiệm của Bên B đối với một sự kiện vi phạm không vượt quá giá trị phần dịch vụ/công việc trực tiếp bị ảnh hưởng bởi vi phạm đó, trong phạm vi pháp luật cho phép.</w:t>
      </w:r>
    </w:p>
    <w:p>
      <w:pPr>
        <w:spacing w:after="80" w:line="259" w:lineRule="auto"/>
        <w:ind w:left="198"/>
      </w:pPr>
      <w:r>
        <w:rPr>
          <w:rFonts w:ascii="Times New Roman" w:hAnsi="Times New Roman" w:eastAsia="Times New Roman"/>
          <w:b w:val="0"/>
          <w:i/>
          <w:color w:val="555555"/>
          <w:sz w:val="18"/>
        </w:rPr>
        <w:t>Cơ sở pháp lý tham chiếu: LTM 2005: Điều 300, 301, 307 về phạt vi phạm, mức phạt và quan hệ với bồi thường; BLDS 2015: Điều 351, 360, 418 về trách nhiệm dân sự và phạt vi phạm.</w:t>
      </w:r>
    </w:p>
    <w:p>
      <w:pPr>
        <w:spacing w:after="40" w:line="259" w:lineRule="auto"/>
      </w:pPr>
      <w:r>
        <w:rPr>
          <w:rFonts w:ascii="Times New Roman" w:hAnsi="Times New Roman" w:eastAsia="Times New Roman"/>
          <w:b/>
          <w:i w:val="0"/>
          <w:sz w:val="24"/>
        </w:rPr>
        <w:t>Điều 17. Bất khả kháng</w:t>
      </w:r>
    </w:p>
    <w:p>
      <w:pPr>
        <w:spacing w:after="40" w:line="252" w:lineRule="auto"/>
        <w:ind w:left="198"/>
      </w:pPr>
      <w:r>
        <w:rPr>
          <w:rFonts w:ascii="Times New Roman" w:hAnsi="Times New Roman" w:eastAsia="Times New Roman"/>
          <w:b/>
          <w:sz w:val="22"/>
        </w:rPr>
        <w:t xml:space="preserve">1. </w:t>
      </w:r>
      <w:r>
        <w:rPr>
          <w:rFonts w:ascii="Times New Roman" w:hAnsi="Times New Roman" w:eastAsia="Times New Roman"/>
          <w:sz w:val="22"/>
        </w:rPr>
        <w:t>Bất khả kháng là sự kiện xảy ra khách quan, không thể lường trước và không thể khắc phục được dù bên bị ảnh hưởng đã áp dụng mọi biện pháp cần thiết trong khả năng cho phép, bao gồm thiên tai, hỏa hoạn, dịch bệnh, chiến tranh, bạo loạn, cấm vận, thay đổi chính sách pháp luật hoặc sự kiện khách quan tương tự.</w:t>
      </w:r>
    </w:p>
    <w:p>
      <w:pPr>
        <w:spacing w:after="40" w:line="252" w:lineRule="auto"/>
        <w:ind w:left="198"/>
      </w:pPr>
      <w:r>
        <w:rPr>
          <w:rFonts w:ascii="Times New Roman" w:hAnsi="Times New Roman" w:eastAsia="Times New Roman"/>
          <w:b/>
          <w:sz w:val="22"/>
        </w:rPr>
        <w:t xml:space="preserve">2. </w:t>
      </w:r>
      <w:r>
        <w:rPr>
          <w:rFonts w:ascii="Times New Roman" w:hAnsi="Times New Roman" w:eastAsia="Times New Roman"/>
          <w:sz w:val="22"/>
        </w:rPr>
        <w:t>Bên gặp sự kiện bất khả kháng phải thông báo cho bên còn lại trong thời gian sớm nhất, kèm tài liệu chứng minh nếu có thể. Hai bên thỏa thuận gia hạn, điều chỉnh lịch hoặc chấm dứt phần nghĩa vụ bị ảnh hưởng tùy mức độ ảnh hưởng.</w:t>
      </w:r>
    </w:p>
    <w:p>
      <w:pPr>
        <w:spacing w:after="40" w:line="259" w:lineRule="auto"/>
      </w:pPr>
      <w:r>
        <w:rPr>
          <w:rFonts w:ascii="Times New Roman" w:hAnsi="Times New Roman" w:eastAsia="Times New Roman"/>
          <w:b/>
          <w:i w:val="0"/>
          <w:sz w:val="24"/>
        </w:rPr>
        <w:t>Điều 18. Giải quyết tranh chấp và hiệu lực</w:t>
      </w:r>
    </w:p>
    <w:p>
      <w:pPr>
        <w:spacing w:after="40" w:line="252" w:lineRule="auto"/>
        <w:ind w:left="198"/>
      </w:pPr>
      <w:r>
        <w:rPr>
          <w:rFonts w:ascii="Times New Roman" w:hAnsi="Times New Roman" w:eastAsia="Times New Roman"/>
          <w:b/>
          <w:sz w:val="22"/>
        </w:rPr>
        <w:t xml:space="preserve">1. </w:t>
      </w:r>
      <w:r>
        <w:rPr>
          <w:rFonts w:ascii="Times New Roman" w:hAnsi="Times New Roman" w:eastAsia="Times New Roman"/>
          <w:sz w:val="22"/>
        </w:rPr>
        <w:t>Tranh chấp được ưu tiên giải quyết bằng thương lượng/hòa giải trên tinh thần thiện chí. Nếu không giải quyết được trong vòng 30 (ba mươi) ngày kể từ ngày một bên gửi thông báo tranh chấp, tranh chấp được đưa ra Tòa án có thẩm quyền theo quy định pháp luật.</w:t>
      </w:r>
    </w:p>
    <w:p>
      <w:pPr>
        <w:spacing w:after="40" w:line="252" w:lineRule="auto"/>
        <w:ind w:left="198"/>
      </w:pPr>
      <w:r>
        <w:rPr>
          <w:rFonts w:ascii="Times New Roman" w:hAnsi="Times New Roman" w:eastAsia="Times New Roman"/>
          <w:b/>
          <w:sz w:val="22"/>
        </w:rPr>
        <w:t xml:space="preserve">2. </w:t>
      </w:r>
      <w:r>
        <w:rPr>
          <w:rFonts w:ascii="Times New Roman" w:hAnsi="Times New Roman" w:eastAsia="Times New Roman"/>
          <w:sz w:val="22"/>
        </w:rPr>
        <w:t>Hợp đồng có hiệu lực từ ngày ký đến ngày {{ngay_het_hieu_luc}} hoặc đến khi hai bên hoàn thành toàn bộ nghĩa vụ, tùy thời điểm nào đến sau, trừ khi bị chấm dứt sớm theo Điều 15.</w:t>
      </w:r>
    </w:p>
    <w:p>
      <w:pPr>
        <w:spacing w:after="40" w:line="252" w:lineRule="auto"/>
        <w:ind w:left="198"/>
      </w:pPr>
      <w:r>
        <w:rPr>
          <w:rFonts w:ascii="Times New Roman" w:hAnsi="Times New Roman" w:eastAsia="Times New Roman"/>
          <w:b/>
          <w:sz w:val="22"/>
        </w:rPr>
        <w:t xml:space="preserve">3. </w:t>
      </w:r>
      <w:r>
        <w:rPr>
          <w:rFonts w:ascii="Times New Roman" w:hAnsi="Times New Roman" w:eastAsia="Times New Roman"/>
          <w:sz w:val="22"/>
        </w:rPr>
        <w:t>Hợp đồng được lập thành 02 (hai) bản, mỗi bên giữ 01 (một) bản có giá trị pháp lý như nhau. Các phụ lục, báo giá, biên bản, email xác nhận và hồ sơ thanh toán hợp lệ là một phần không tách rời của Hợp đồng nếu được các bên xác nhận theo quy định tại Hợp đồng.</w:t>
      </w:r>
    </w:p>
    <w:p>
      <w:pPr>
        <w:spacing w:after="80" w:line="259" w:lineRule="auto"/>
        <w:jc w:val="center"/>
      </w:pPr>
      <w:r>
        <w:rPr>
          <w:rFonts w:ascii="Times New Roman" w:hAnsi="Times New Roman" w:eastAsia="Times New Roman"/>
          <w:b/>
          <w:i w:val="0"/>
          <w:sz w:val="24"/>
        </w:rPr>
        <w:t>PHỤ LỤC A - BẢNG THAM CHIẾU PHÁP LÝ NỘI BỘ</w:t>
      </w:r>
    </w:p>
    <w:p>
      <w:pPr>
        <w:spacing w:after="60" w:line="259" w:lineRule="auto"/>
      </w:pPr>
      <w:r>
        <w:rPr>
          <w:rFonts w:ascii="Times New Roman" w:hAnsi="Times New Roman" w:eastAsia="Times New Roman"/>
          <w:b w:val="0"/>
          <w:i/>
          <w:color w:val="666666"/>
          <w:sz w:val="18"/>
        </w:rPr>
        <w:t>Bảng này dùng để rà soát nội bộ/LEXcentra. Khi ký hợp đồng thực tế, bộ phận pháp lý/kế toán cần kiểm tra lại văn bản hiện hành, văn bản sửa đổi/bổ sung/thay thế và bối cảnh giao dịch cụ thể.</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94"/>
        <w:gridCol w:w="3494"/>
        <w:gridCol w:w="3494"/>
      </w:tblGrid>
      <w:tr>
        <w:tc>
          <w:tcPr>
            <w:tcW w:type="dxa" w:w="3494"/>
            <w:shd w:fill="D9EAF7"/>
          </w:tcPr>
          <w:p>
            <w:pPr>
              <w:jc w:val="center"/>
            </w:pPr>
            <w:r/>
            <w:r>
              <w:rPr>
                <w:rFonts w:ascii="Times New Roman" w:hAnsi="Times New Roman" w:eastAsia="Times New Roman"/>
                <w:b/>
                <w:sz w:val="18"/>
              </w:rPr>
              <w:t>Nhóm điều khoản</w:t>
            </w:r>
          </w:p>
        </w:tc>
        <w:tc>
          <w:tcPr>
            <w:tcW w:type="dxa" w:w="3494"/>
            <w:shd w:fill="D9EAF7"/>
          </w:tcPr>
          <w:p>
            <w:pPr>
              <w:jc w:val="center"/>
            </w:pPr>
            <w:r/>
            <w:r>
              <w:rPr>
                <w:rFonts w:ascii="Times New Roman" w:hAnsi="Times New Roman" w:eastAsia="Times New Roman"/>
                <w:b/>
                <w:sz w:val="18"/>
              </w:rPr>
              <w:t>Điều trong hợp đồng</w:t>
            </w:r>
          </w:p>
        </w:tc>
        <w:tc>
          <w:tcPr>
            <w:tcW w:type="dxa" w:w="3494"/>
            <w:shd w:fill="D9EAF7"/>
          </w:tcPr>
          <w:p>
            <w:pPr>
              <w:jc w:val="center"/>
            </w:pPr>
            <w:r/>
            <w:r>
              <w:rPr>
                <w:rFonts w:ascii="Times New Roman" w:hAnsi="Times New Roman" w:eastAsia="Times New Roman"/>
                <w:b/>
                <w:sz w:val="18"/>
              </w:rPr>
              <w:t>Căn cứ pháp lý tham chiếu</w:t>
            </w:r>
          </w:p>
        </w:tc>
      </w:tr>
      <w:tr>
        <w:tc>
          <w:tcPr>
            <w:tcW w:type="dxa" w:w="3494"/>
          </w:tcPr>
          <w:p>
            <w:r/>
            <w:r>
              <w:rPr>
                <w:rFonts w:ascii="Times New Roman" w:hAnsi="Times New Roman" w:eastAsia="Times New Roman"/>
                <w:b w:val="0"/>
                <w:sz w:val="17"/>
              </w:rPr>
              <w:t>Chậm thanh toán, lãi chậm trả</w:t>
            </w:r>
          </w:p>
        </w:tc>
        <w:tc>
          <w:tcPr>
            <w:tcW w:type="dxa" w:w="3494"/>
          </w:tcPr>
          <w:p>
            <w:r/>
            <w:r>
              <w:rPr>
                <w:rFonts w:ascii="Times New Roman" w:hAnsi="Times New Roman" w:eastAsia="Times New Roman"/>
                <w:b w:val="0"/>
                <w:sz w:val="17"/>
              </w:rPr>
              <w:t>Điều 8</w:t>
            </w:r>
          </w:p>
        </w:tc>
        <w:tc>
          <w:tcPr>
            <w:tcW w:type="dxa" w:w="3494"/>
          </w:tcPr>
          <w:p>
            <w:r/>
            <w:r>
              <w:rPr>
                <w:rFonts w:ascii="Times New Roman" w:hAnsi="Times New Roman" w:eastAsia="Times New Roman"/>
                <w:b w:val="0"/>
                <w:sz w:val="17"/>
              </w:rPr>
              <w:t>Luật Thương mại 2005 Điều 306; BLDS 2015 Điều 357, 468; Nghị quyết 01/2019/NQ-HĐTP Điều 11</w:t>
            </w:r>
          </w:p>
        </w:tc>
      </w:tr>
      <w:tr>
        <w:tc>
          <w:tcPr>
            <w:tcW w:type="dxa" w:w="3494"/>
          </w:tcPr>
          <w:p>
            <w:r/>
            <w:r>
              <w:rPr>
                <w:rFonts w:ascii="Times New Roman" w:hAnsi="Times New Roman" w:eastAsia="Times New Roman"/>
                <w:b w:val="0"/>
                <w:sz w:val="17"/>
              </w:rPr>
              <w:t>Tạm ngừng/đình chỉ dịch vụ</w:t>
            </w:r>
          </w:p>
        </w:tc>
        <w:tc>
          <w:tcPr>
            <w:tcW w:type="dxa" w:w="3494"/>
          </w:tcPr>
          <w:p>
            <w:r/>
            <w:r>
              <w:rPr>
                <w:rFonts w:ascii="Times New Roman" w:hAnsi="Times New Roman" w:eastAsia="Times New Roman"/>
                <w:b w:val="0"/>
                <w:sz w:val="17"/>
              </w:rPr>
              <w:t>Điều 8, Điều 15</w:t>
            </w:r>
          </w:p>
        </w:tc>
        <w:tc>
          <w:tcPr>
            <w:tcW w:type="dxa" w:w="3494"/>
          </w:tcPr>
          <w:p>
            <w:r/>
            <w:r>
              <w:rPr>
                <w:rFonts w:ascii="Times New Roman" w:hAnsi="Times New Roman" w:eastAsia="Times New Roman"/>
                <w:b w:val="0"/>
                <w:sz w:val="17"/>
              </w:rPr>
              <w:t>Luật Thương mại 2005 Điều 308, 310, 311; BLDS 2015 Điều 351, 411</w:t>
            </w:r>
          </w:p>
        </w:tc>
      </w:tr>
      <w:tr>
        <w:tc>
          <w:tcPr>
            <w:tcW w:type="dxa" w:w="3494"/>
          </w:tcPr>
          <w:p>
            <w:r/>
            <w:r>
              <w:rPr>
                <w:rFonts w:ascii="Times New Roman" w:hAnsi="Times New Roman" w:eastAsia="Times New Roman"/>
                <w:b w:val="0"/>
                <w:sz w:val="17"/>
              </w:rPr>
              <w:t>Bảo hành phát sinh</w:t>
            </w:r>
          </w:p>
        </w:tc>
        <w:tc>
          <w:tcPr>
            <w:tcW w:type="dxa" w:w="3494"/>
          </w:tcPr>
          <w:p>
            <w:r/>
            <w:r>
              <w:rPr>
                <w:rFonts w:ascii="Times New Roman" w:hAnsi="Times New Roman" w:eastAsia="Times New Roman"/>
                <w:b w:val="0"/>
                <w:sz w:val="17"/>
              </w:rPr>
              <w:t>Điều 9</w:t>
            </w:r>
          </w:p>
        </w:tc>
        <w:tc>
          <w:tcPr>
            <w:tcW w:type="dxa" w:w="3494"/>
          </w:tcPr>
          <w:p>
            <w:r/>
            <w:r>
              <w:rPr>
                <w:rFonts w:ascii="Times New Roman" w:hAnsi="Times New Roman" w:eastAsia="Times New Roman"/>
                <w:b w:val="0"/>
                <w:sz w:val="17"/>
              </w:rPr>
              <w:t>BLDS 2015 Điều 446; Luật Thương mại 2005 Điều 49; BLDS 2015 Điều 405, 406</w:t>
            </w:r>
          </w:p>
        </w:tc>
      </w:tr>
      <w:tr>
        <w:tc>
          <w:tcPr>
            <w:tcW w:type="dxa" w:w="3494"/>
          </w:tcPr>
          <w:p>
            <w:r/>
            <w:r>
              <w:rPr>
                <w:rFonts w:ascii="Times New Roman" w:hAnsi="Times New Roman" w:eastAsia="Times New Roman"/>
                <w:b w:val="0"/>
                <w:sz w:val="17"/>
              </w:rPr>
              <w:t>Bảo mật thông tin</w:t>
            </w:r>
          </w:p>
        </w:tc>
        <w:tc>
          <w:tcPr>
            <w:tcW w:type="dxa" w:w="3494"/>
          </w:tcPr>
          <w:p>
            <w:r/>
            <w:r>
              <w:rPr>
                <w:rFonts w:ascii="Times New Roman" w:hAnsi="Times New Roman" w:eastAsia="Times New Roman"/>
                <w:b w:val="0"/>
                <w:sz w:val="17"/>
              </w:rPr>
              <w:t>Điều 12</w:t>
            </w:r>
          </w:p>
        </w:tc>
        <w:tc>
          <w:tcPr>
            <w:tcW w:type="dxa" w:w="3494"/>
          </w:tcPr>
          <w:p>
            <w:r/>
            <w:r>
              <w:rPr>
                <w:rFonts w:ascii="Times New Roman" w:hAnsi="Times New Roman" w:eastAsia="Times New Roman"/>
                <w:b w:val="0"/>
                <w:sz w:val="17"/>
              </w:rPr>
              <w:t>BLDS 2015 Điều 387, 351; LTM 2005 Điều 300, 301, 307; BLTTDS 2015 về biện pháp khẩn cấp tạm thời</w:t>
            </w:r>
          </w:p>
        </w:tc>
      </w:tr>
      <w:tr>
        <w:tc>
          <w:tcPr>
            <w:tcW w:type="dxa" w:w="3494"/>
          </w:tcPr>
          <w:p>
            <w:r/>
            <w:r>
              <w:rPr>
                <w:rFonts w:ascii="Times New Roman" w:hAnsi="Times New Roman" w:eastAsia="Times New Roman"/>
                <w:b w:val="0"/>
                <w:sz w:val="17"/>
              </w:rPr>
              <w:t>Trao đổi điện tử và chứng cứ</w:t>
            </w:r>
          </w:p>
        </w:tc>
        <w:tc>
          <w:tcPr>
            <w:tcW w:type="dxa" w:w="3494"/>
          </w:tcPr>
          <w:p>
            <w:r/>
            <w:r>
              <w:rPr>
                <w:rFonts w:ascii="Times New Roman" w:hAnsi="Times New Roman" w:eastAsia="Times New Roman"/>
                <w:b w:val="0"/>
                <w:sz w:val="17"/>
              </w:rPr>
              <w:t>Điều 14</w:t>
            </w:r>
          </w:p>
        </w:tc>
        <w:tc>
          <w:tcPr>
            <w:tcW w:type="dxa" w:w="3494"/>
          </w:tcPr>
          <w:p>
            <w:r/>
            <w:r>
              <w:rPr>
                <w:rFonts w:ascii="Times New Roman" w:hAnsi="Times New Roman" w:eastAsia="Times New Roman"/>
                <w:b w:val="0"/>
                <w:sz w:val="17"/>
              </w:rPr>
              <w:t>Luật Giao dịch điện tử 2023 Điều 8, 11, 23; BLTTDS 2015 Điều 93</w:t>
            </w:r>
          </w:p>
        </w:tc>
      </w:tr>
      <w:tr>
        <w:tc>
          <w:tcPr>
            <w:tcW w:type="dxa" w:w="3494"/>
          </w:tcPr>
          <w:p>
            <w:r/>
            <w:r>
              <w:rPr>
                <w:rFonts w:ascii="Times New Roman" w:hAnsi="Times New Roman" w:eastAsia="Times New Roman"/>
                <w:b w:val="0"/>
                <w:sz w:val="17"/>
              </w:rPr>
              <w:t>Chấm dứt do vi phạm nghiêm trọng</w:t>
            </w:r>
          </w:p>
        </w:tc>
        <w:tc>
          <w:tcPr>
            <w:tcW w:type="dxa" w:w="3494"/>
          </w:tcPr>
          <w:p>
            <w:r/>
            <w:r>
              <w:rPr>
                <w:rFonts w:ascii="Times New Roman" w:hAnsi="Times New Roman" w:eastAsia="Times New Roman"/>
                <w:b w:val="0"/>
                <w:sz w:val="17"/>
              </w:rPr>
              <w:t>Điều 15</w:t>
            </w:r>
          </w:p>
        </w:tc>
        <w:tc>
          <w:tcPr>
            <w:tcW w:type="dxa" w:w="3494"/>
          </w:tcPr>
          <w:p>
            <w:r/>
            <w:r>
              <w:rPr>
                <w:rFonts w:ascii="Times New Roman" w:hAnsi="Times New Roman" w:eastAsia="Times New Roman"/>
                <w:b w:val="0"/>
                <w:sz w:val="17"/>
              </w:rPr>
              <w:t>BLDS 2015 Điều 423, 424, 428; LTM 2005 Điều 308, 310, 311</w:t>
            </w:r>
          </w:p>
        </w:tc>
      </w:tr>
      <w:tr>
        <w:tc>
          <w:tcPr>
            <w:tcW w:type="dxa" w:w="3494"/>
          </w:tcPr>
          <w:p>
            <w:r/>
            <w:r>
              <w:rPr>
                <w:rFonts w:ascii="Times New Roman" w:hAnsi="Times New Roman" w:eastAsia="Times New Roman"/>
                <w:b w:val="0"/>
                <w:sz w:val="17"/>
              </w:rPr>
              <w:t>Phạt vi phạm và bồi thường</w:t>
            </w:r>
          </w:p>
        </w:tc>
        <w:tc>
          <w:tcPr>
            <w:tcW w:type="dxa" w:w="3494"/>
          </w:tcPr>
          <w:p>
            <w:r/>
            <w:r>
              <w:rPr>
                <w:rFonts w:ascii="Times New Roman" w:hAnsi="Times New Roman" w:eastAsia="Times New Roman"/>
                <w:b w:val="0"/>
                <w:sz w:val="17"/>
              </w:rPr>
              <w:t>Điều 16</w:t>
            </w:r>
          </w:p>
        </w:tc>
        <w:tc>
          <w:tcPr>
            <w:tcW w:type="dxa" w:w="3494"/>
          </w:tcPr>
          <w:p>
            <w:r/>
            <w:r>
              <w:rPr>
                <w:rFonts w:ascii="Times New Roman" w:hAnsi="Times New Roman" w:eastAsia="Times New Roman"/>
                <w:b w:val="0"/>
                <w:sz w:val="17"/>
              </w:rPr>
              <w:t>Luật Thương mại 2005 Điều 300, 301, 307; BLDS 2015 Điều 418, 351, 360</w:t>
            </w:r>
          </w:p>
        </w:tc>
      </w:tr>
    </w:tbl>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5241"/>
        <w:gridCol w:w="5241"/>
      </w:tblGrid>
      <w:tr>
        <w:tc>
          <w:tcPr>
            <w:tcW w:type="dxa" w:w="5241"/>
            <w:vAlign w:val="top"/>
          </w:tcPr>
          <w:p>
            <w:pPr>
              <w:jc w:val="center"/>
            </w:pPr>
            <w:r/>
            <w:r>
              <w:rPr>
                <w:rFonts w:ascii="Times New Roman" w:hAnsi="Times New Roman" w:eastAsia="Times New Roman"/>
                <w:b/>
                <w:sz w:val="20"/>
              </w:rPr>
              <w:t>ĐẠI DIỆN BÊN A</w:t>
              <w:br/>
              <w:t>(Ký, ghi rõ họ tên, chức vụ, đóng dấu)</w:t>
            </w:r>
          </w:p>
        </w:tc>
        <w:tc>
          <w:tcPr>
            <w:tcW w:type="dxa" w:w="5241"/>
            <w:vAlign w:val="top"/>
          </w:tcPr>
          <w:p>
            <w:pPr>
              <w:jc w:val="center"/>
            </w:pPr>
            <w:r/>
            <w:r>
              <w:rPr>
                <w:rFonts w:ascii="Times New Roman" w:hAnsi="Times New Roman" w:eastAsia="Times New Roman"/>
                <w:b/>
                <w:sz w:val="20"/>
              </w:rPr>
              <w:t>ĐẠI DIỆN BÊN B</w:t>
              <w:br/>
              <w:t>CÔNG TY TNHH MTV CƠ ĐIỆN LẠNH THANH HOÀI</w:t>
              <w:br/>
              <w:t>(Ký, ghi rõ họ tên, chức vụ, đóng dấu)</w:t>
            </w:r>
          </w:p>
        </w:tc>
      </w:tr>
      <w:tr>
        <w:tc>
          <w:tcPr>
            <w:tcW w:type="dxa" w:w="5241"/>
            <w:vAlign w:val="top"/>
          </w:tcPr>
          <w:p>
            <w:pPr>
              <w:jc w:val="center"/>
            </w:pPr>
            <w:r/>
            <w:r>
              <w:rPr>
                <w:rFonts w:ascii="Times New Roman" w:hAnsi="Times New Roman" w:eastAsia="Times New Roman"/>
                <w:b w:val="0"/>
                <w:sz w:val="20"/>
              </w:rPr>
              <w:br/>
              <w:br/>
              <w:br/>
              <w:br/>
              <w:br/>
              <w:t>{{ben_a_nguoi_ky}}</w:t>
            </w:r>
          </w:p>
        </w:tc>
        <w:tc>
          <w:tcPr>
            <w:tcW w:type="dxa" w:w="5241"/>
            <w:vAlign w:val="top"/>
          </w:tcPr>
          <w:p>
            <w:pPr>
              <w:jc w:val="center"/>
            </w:pPr>
            <w:r/>
            <w:r>
              <w:rPr>
                <w:rFonts w:ascii="Times New Roman" w:hAnsi="Times New Roman" w:eastAsia="Times New Roman"/>
                <w:b w:val="0"/>
                <w:sz w:val="20"/>
              </w:rPr>
              <w:br/>
              <w:br/>
              <w:br/>
              <w:br/>
              <w:br/>
              <w:t>PHAN TRẦN ANH QUÂN</w:t>
            </w:r>
          </w:p>
        </w:tc>
      </w:tr>
      <w:tr>
        <w:tc>
          <w:tcPr>
            <w:tcW w:type="dxa" w:w="5241"/>
            <w:vAlign w:val="top"/>
          </w:tcPr>
          <w:p>
            <w:r/>
            <w:r>
              <w:rPr>
                <w:rFonts w:ascii="Times New Roman" w:hAnsi="Times New Roman" w:eastAsia="Times New Roman"/>
                <w:b w:val="0"/>
                <w:sz w:val="20"/>
              </w:rPr>
            </w:r>
          </w:p>
        </w:tc>
        <w:tc>
          <w:tcPr>
            <w:tcW w:type="dxa" w:w="5241"/>
            <w:vAlign w:val="top"/>
          </w:tcPr>
          <w:p>
            <w:r/>
            <w:r>
              <w:rPr>
                <w:rFonts w:ascii="Times New Roman" w:hAnsi="Times New Roman" w:eastAsia="Times New Roman"/>
                <w:b w:val="0"/>
                <w:sz w:val="20"/>
              </w:rPr>
            </w:r>
          </w:p>
        </w:tc>
      </w:tr>
    </w:tbl>
    <w:sectPr w:rsidR="00FC693F" w:rsidRPr="0006063C" w:rsidSect="00034616">
      <w:headerReference w:type="default" r:id="rId9"/>
      <w:footerReference w:type="default" r:id="rId10"/>
      <w:pgSz w:w="12240" w:h="15840"/>
      <w:pgMar w:top="822" w:right="879" w:bottom="76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6"/>
      </w:rPr>
      <w:t xml:space="preserve">Trang </w:t>
    </w:r>
    <w:r>
      <w:rPr>
        <w:rFonts w:ascii="Times New Roman" w:hAnsi="Times New Roman" w:eastAsia="Times New Roman"/>
        <w:sz w:val="16"/>
      </w:rPr>
      <w:t>| Hợp đồng bảo trì, bảo dưỡng - CÔNG TY TNHH MTV CƠ ĐIỆN LẠNH THANH HOÀI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olor w:val="5A5A5A"/>
        <w:sz w:val="16"/>
      </w:rPr>
      <w:t>THANH HOÀI ERP - BỘ MẪU HỢP ĐỒNG | HDBT-TH-v2 | Bản tăng cường điều khoản pháp lý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