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rPr>
        <w:t>CỘNG HÒA XÃ HỘI CHỦ NGHĨA VIỆT NAM</w:t>
      </w:r>
    </w:p>
    <w:p>
      <w:pPr>
        <w:jc w:val="center"/>
      </w:pPr>
      <w:r>
        <w:rPr>
          <w:rFonts w:ascii="Times New Roman" w:hAnsi="Times New Roman" w:eastAsia="Times New Roman"/>
          <w:b/>
          <w:i w:val="0"/>
          <w:sz w:val="22"/>
        </w:rPr>
        <w:t>Độc lập - Tự do - Hạnh phúc</w:t>
      </w:r>
    </w:p>
    <w:p>
      <w:pPr>
        <w:jc w:val="center"/>
      </w:pPr>
      <w:r>
        <w:rPr>
          <w:rFonts w:ascii="Times New Roman" w:hAnsi="Times New Roman" w:eastAsia="Times New Roman"/>
          <w:b w:val="0"/>
          <w:i w:val="0"/>
          <w:sz w:val="22"/>
        </w:rPr>
        <w:t>---o0o---</w:t>
      </w:r>
    </w:p>
    <w:p>
      <w:pPr>
        <w:jc w:val="center"/>
      </w:pPr>
      <w:r>
        <w:rPr>
          <w:rFonts w:ascii="Times New Roman" w:hAnsi="Times New Roman" w:eastAsia="Times New Roman"/>
          <w:b/>
          <w:i w:val="0"/>
          <w:sz w:val="32"/>
        </w:rPr>
        <w:t>PHỤ LỤC ĐIỀU KHOẢN CHÍNH SÁCH CHUNG</w:t>
      </w:r>
    </w:p>
    <w:p>
      <w:pPr>
        <w:jc w:val="center"/>
      </w:pPr>
      <w:r>
        <w:rPr>
          <w:rFonts w:ascii="Times New Roman" w:hAnsi="Times New Roman" w:eastAsia="Times New Roman"/>
          <w:b/>
          <w:i w:val="0"/>
          <w:sz w:val="22"/>
        </w:rPr>
        <w:t>Số: {{so_phu_luc}}/PLCS/TH</w:t>
      </w:r>
    </w:p>
    <w:p>
      <w:r>
        <w:rPr>
          <w:rFonts w:ascii="Times New Roman" w:hAnsi="Times New Roman" w:eastAsia="Times New Roman"/>
          <w:b w:val="0"/>
          <w:i/>
          <w:sz w:val="22"/>
        </w:rPr>
        <w:t>Hôm nay, ngày {{ngay}} tháng {{thang}} năm {{nam}}, tại {{dia_diem_ky}}, chúng tôi gồm:</w:t>
      </w:r>
    </w:p>
    <w:p>
      <w:r>
        <w:rPr>
          <w:rFonts w:ascii="Times New Roman" w:hAnsi="Times New Roman" w:eastAsia="Times New Roman"/>
          <w:b w:val="0"/>
          <w:i/>
          <w:sz w:val="22"/>
        </w:rPr>
        <w:t>Tài liệu này là ngân hàng điều khoản chính sách để đính kèm hoặc trích dẫn vào các hợp đồng của Thanh Hoài. Khi ký thực tế, cần kiểm tra lại với kế toán/luật sư theo từng giao dịch cụ thể.</w:t>
      </w:r>
    </w:p>
    <w:p>
      <w:pPr>
        <w:keepNext/>
        <w:spacing w:before="100"/>
      </w:pPr>
      <w:r>
        <w:rPr>
          <w:rFonts w:ascii="Times New Roman" w:hAnsi="Times New Roman" w:eastAsia="Times New Roman"/>
          <w:b/>
          <w:i w:val="0"/>
          <w:sz w:val="22"/>
        </w:rPr>
        <w:t>Điều 1. Chính sách thuế, hóa đơn và chứng từ</w:t>
      </w:r>
    </w:p>
    <w:p>
      <w:r>
        <w:rPr>
          <w:rFonts w:ascii="Times New Roman" w:hAnsi="Times New Roman" w:eastAsia="Times New Roman"/>
          <w:b w:val="0"/>
          <w:i w:val="0"/>
          <w:sz w:val="22"/>
        </w:rPr>
        <w:t>1. Thuế VAT, hóa đơn, chứng từ điện tử và các nghĩa vụ tài chính được thực hiện theo quy định pháp luật hiện hành và theo thông tin thể hiện trên báo giá/phụ lục/hóa đơn của từng giao dịch.</w:t>
      </w:r>
    </w:p>
    <w:p>
      <w:r>
        <w:rPr>
          <w:rFonts w:ascii="Times New Roman" w:hAnsi="Times New Roman" w:eastAsia="Times New Roman"/>
          <w:b w:val="0"/>
          <w:i w:val="0"/>
          <w:sz w:val="22"/>
        </w:rPr>
        <w:t>2. Trường hợp chính sách thuế, phí, lệ phí, hóa đơn hoặc quy định quản lý nhà nước thay đổi làm ảnh hưởng đến giá trị, hồ sơ hoặc thời điểm thực hiện, hai bên sẽ phối hợp điều chỉnh chứng từ và nghĩa vụ liên quan trên cơ sở văn bản pháp luật có hiệu lực tại thời điểm phát sinh.</w:t>
      </w:r>
    </w:p>
    <w:p>
      <w:r>
        <w:rPr>
          <w:rFonts w:ascii="Times New Roman" w:hAnsi="Times New Roman" w:eastAsia="Times New Roman"/>
          <w:b w:val="0"/>
          <w:i w:val="0"/>
          <w:sz w:val="22"/>
        </w:rPr>
        <w:t>3. Bên A có trách nhiệm cung cấp thông tin xuất hóa đơn chính xác trước thời điểm Bên B lập hóa đơn. Trường hợp thông tin sai do Bên A cung cấp, chi phí điều chỉnh/hủy/thay thế hóa đơn, nếu có, do Bên A chịu.</w:t>
      </w:r>
    </w:p>
    <w:p>
      <w:pPr>
        <w:keepNext/>
        <w:spacing w:before="100"/>
      </w:pPr>
      <w:r>
        <w:rPr>
          <w:rFonts w:ascii="Times New Roman" w:hAnsi="Times New Roman" w:eastAsia="Times New Roman"/>
          <w:b/>
          <w:i w:val="0"/>
          <w:sz w:val="22"/>
        </w:rPr>
        <w:t>Điều 2. Bảo mật thông tin và dữ liệu hồ sơ</w:t>
      </w:r>
    </w:p>
    <w:p>
      <w:r>
        <w:rPr>
          <w:rFonts w:ascii="Times New Roman" w:hAnsi="Times New Roman" w:eastAsia="Times New Roman"/>
          <w:b w:val="0"/>
          <w:i w:val="0"/>
          <w:sz w:val="22"/>
        </w:rPr>
        <w:t>1. Mọi thông tin về giá, bản vẽ, quy trình kỹ thuật, danh sách khách hàng, hồ sơ công trình, hình ảnh hiện trường, tài liệu nội bộ và thông tin kinh doanh của mỗi bên được xem là thông tin bảo mật, trừ khi thông tin đã công khai hợp pháp.</w:t>
      </w:r>
    </w:p>
    <w:p>
      <w:r>
        <w:rPr>
          <w:rFonts w:ascii="Times New Roman" w:hAnsi="Times New Roman" w:eastAsia="Times New Roman"/>
          <w:b w:val="0"/>
          <w:i w:val="0"/>
          <w:sz w:val="22"/>
        </w:rPr>
        <w:t>2. Các bên không được tiết lộ thông tin bảo mật cho bên thứ ba nếu không có sự đồng ý bằng văn bản của bên còn lại, trừ trường hợp cung cấp cho cơ quan nhà nước có thẩm quyền hoặc đơn vị tư vấn/hỗ trợ có nghĩa vụ bảo mật tương đương.</w:t>
      </w:r>
    </w:p>
    <w:p>
      <w:r>
        <w:rPr>
          <w:rFonts w:ascii="Times New Roman" w:hAnsi="Times New Roman" w:eastAsia="Times New Roman"/>
          <w:b w:val="0"/>
          <w:i w:val="0"/>
          <w:sz w:val="22"/>
        </w:rPr>
        <w:t>3. Nghĩa vụ bảo mật tiếp tục có hiệu lực trong vòng 24 tháng sau khi hợp đồng chấm dứt, trừ khi pháp luật yêu cầu thời hạn dài hơn.</w:t>
      </w:r>
    </w:p>
    <w:p>
      <w:pPr>
        <w:keepNext/>
        <w:spacing w:before="100"/>
      </w:pPr>
      <w:r>
        <w:rPr>
          <w:rFonts w:ascii="Times New Roman" w:hAnsi="Times New Roman" w:eastAsia="Times New Roman"/>
          <w:b/>
          <w:i w:val="0"/>
          <w:sz w:val="22"/>
        </w:rPr>
        <w:t>Điều 3. Tuân thủ pháp luật, chống hối lộ và xung đột lợi ích</w:t>
      </w:r>
    </w:p>
    <w:p>
      <w:r>
        <w:rPr>
          <w:rFonts w:ascii="Times New Roman" w:hAnsi="Times New Roman" w:eastAsia="Times New Roman"/>
          <w:b w:val="0"/>
          <w:i w:val="0"/>
          <w:sz w:val="22"/>
        </w:rPr>
        <w:t>1. Hai bên cam kết tuân thủ pháp luật, không thực hiện hành vi hối lộ, thông đồng, gian lận, cạnh tranh không lành mạnh hoặc lợi dụng hợp đồng để thực hiện giao dịch trái pháp luật.</w:t>
      </w:r>
    </w:p>
    <w:p>
      <w:r>
        <w:rPr>
          <w:rFonts w:ascii="Times New Roman" w:hAnsi="Times New Roman" w:eastAsia="Times New Roman"/>
          <w:b w:val="0"/>
          <w:i w:val="0"/>
          <w:sz w:val="22"/>
        </w:rPr>
        <w:t>2. Mọi khoản chiết khấu, hoa hồng, hỗ trợ, phí bên thứ ba nếu có phải được ghi nhận minh bạch bằng văn bản hoặc chứng từ hợp lệ theo chính sách nội bộ và quy định pháp luật.</w:t>
      </w:r>
    </w:p>
    <w:p>
      <w:r>
        <w:rPr>
          <w:rFonts w:ascii="Times New Roman" w:hAnsi="Times New Roman" w:eastAsia="Times New Roman"/>
          <w:b w:val="0"/>
          <w:i w:val="0"/>
          <w:sz w:val="22"/>
        </w:rPr>
        <w:t>3. Bên nào phát hiện nguy cơ xung đột lợi ích hoặc yêu cầu không phù hợp phải thông báo cho bên còn lại để xử lý trước khi tiếp tục thực hiện.</w:t>
      </w:r>
    </w:p>
    <w:p>
      <w:pPr>
        <w:keepNext/>
        <w:spacing w:before="100"/>
      </w:pPr>
      <w:r>
        <w:rPr>
          <w:rFonts w:ascii="Times New Roman" w:hAnsi="Times New Roman" w:eastAsia="Times New Roman"/>
          <w:b/>
          <w:i w:val="0"/>
          <w:sz w:val="22"/>
        </w:rPr>
        <w:t>Điều 4. An toàn lao động, PCCC và bảo vệ tài sản</w:t>
      </w:r>
    </w:p>
    <w:p>
      <w:r>
        <w:rPr>
          <w:rFonts w:ascii="Times New Roman" w:hAnsi="Times New Roman" w:eastAsia="Times New Roman"/>
          <w:b w:val="0"/>
          <w:i w:val="0"/>
          <w:sz w:val="22"/>
        </w:rPr>
        <w:t>1. Đối với công việc thi công, lắp đặt, bảo trì, sửa chữa tại hiện trường, các bên phải phối hợp bảo đảm an toàn lao động, an toàn điện, phòng cháy chữa cháy, vệ sinh công nghiệp và bảo vệ tài sản tại khu vực thực hiện.</w:t>
      </w:r>
    </w:p>
    <w:p>
      <w:r>
        <w:rPr>
          <w:rFonts w:ascii="Times New Roman" w:hAnsi="Times New Roman" w:eastAsia="Times New Roman"/>
          <w:b w:val="0"/>
          <w:i w:val="0"/>
          <w:sz w:val="22"/>
        </w:rPr>
        <w:t>2. Bên A có trách nhiệm bàn giao mặt bằng, điều kiện ra vào, nguồn điện/nước và các yêu cầu nội quy công trình nếu có. Bên B có trách nhiệm tổ chức nhân sự, dụng cụ và phương án thi công phù hợp với phạm vi công việc đã thỏa thuận.</w:t>
      </w:r>
    </w:p>
    <w:p>
      <w:r>
        <w:rPr>
          <w:rFonts w:ascii="Times New Roman" w:hAnsi="Times New Roman" w:eastAsia="Times New Roman"/>
          <w:b w:val="0"/>
          <w:i w:val="0"/>
          <w:sz w:val="22"/>
        </w:rPr>
        <w:t>3. Nếu phát sinh điều kiện thi công không an toàn hoặc vượt ngoài phạm vi đã khảo sát, Bên B có quyền tạm dừng để yêu cầu xác nhận phương án xử lý, chi phí và tiến độ điều chỉnh.</w:t>
      </w:r>
    </w:p>
    <w:p>
      <w:pPr>
        <w:keepNext/>
        <w:spacing w:before="100"/>
      </w:pPr>
      <w:r>
        <w:rPr>
          <w:rFonts w:ascii="Times New Roman" w:hAnsi="Times New Roman" w:eastAsia="Times New Roman"/>
          <w:b/>
          <w:i w:val="0"/>
          <w:sz w:val="22"/>
        </w:rPr>
        <w:t>Điều 5. Trao đổi điện tử, thông báo và lưu trữ hồ sơ</w:t>
      </w:r>
    </w:p>
    <w:p>
      <w:r>
        <w:rPr>
          <w:rFonts w:ascii="Times New Roman" w:hAnsi="Times New Roman" w:eastAsia="Times New Roman"/>
          <w:b w:val="0"/>
          <w:i w:val="0"/>
          <w:sz w:val="22"/>
        </w:rPr>
        <w:t>1. Thông báo, xác nhận, yêu cầu phát sinh, chấp thuận báo giá, xác nhận lịch thi công hoặc các trao đổi nghiệp vụ qua email, tin nhắn, hệ thống quản lý công việc hoặc văn bản điện tử được xem là căn cứ tham chiếu nếu xác định được người gửi, thời điểm gửi và nội dung trao đổi.</w:t>
      </w:r>
    </w:p>
    <w:p>
      <w:r>
        <w:rPr>
          <w:rFonts w:ascii="Times New Roman" w:hAnsi="Times New Roman" w:eastAsia="Times New Roman"/>
          <w:b w:val="0"/>
          <w:i w:val="0"/>
          <w:sz w:val="22"/>
        </w:rPr>
        <w:t>2. Các văn bản cần ký/đóng dấu như hợp đồng, phụ lục, nghiệm thu, quyết toán, đối chiếu công nợ và hồ sơ thanh toán sẽ thực hiện theo hình thức bản giấy hoặc bản điện tử có giá trị pháp lý tương đương nếu hai bên thống nhất.</w:t>
      </w:r>
    </w:p>
    <w:p>
      <w:r>
        <w:rPr>
          <w:rFonts w:ascii="Times New Roman" w:hAnsi="Times New Roman" w:eastAsia="Times New Roman"/>
          <w:b w:val="0"/>
          <w:i w:val="0"/>
          <w:sz w:val="22"/>
        </w:rPr>
        <w:t>3. Hồ sơ, hình ảnh, thông tin kỹ thuật, thông tin người liên hệ và dữ liệu giao dịch được thu thập chỉ nhằm mục đích thực hiện hợp đồng, quản lý bảo hành, bảo trì, thanh toán, đối chiếu công nợ và lưu trữ hồ sơ theo quy định.</w:t>
      </w:r>
    </w:p>
    <w:p>
      <w:r>
        <w:rPr>
          <w:rFonts w:ascii="Times New Roman" w:hAnsi="Times New Roman" w:eastAsia="Times New Roman"/>
          <w:b w:val="0"/>
          <w:i w:val="0"/>
          <w:sz w:val="22"/>
        </w:rPr>
        <w:t>4. Bên B được phép lưu trữ hồ sơ giao dịch trong hệ thống quản trị nội bộ để phục vụ truy xuất chứng từ, bảo hành, bảo trì, kiểm toán nội bộ và xử lý tranh chấp nếu có.</w:t>
      </w:r>
    </w:p>
    <w:p>
      <w:pPr>
        <w:keepNext/>
        <w:spacing w:before="100"/>
      </w:pPr>
      <w:r>
        <w:rPr>
          <w:rFonts w:ascii="Times New Roman" w:hAnsi="Times New Roman" w:eastAsia="Times New Roman"/>
          <w:b/>
          <w:i w:val="0"/>
          <w:sz w:val="22"/>
        </w:rPr>
        <w:t>Điều 6. Tạm ngừng thực hiện</w:t>
      </w:r>
    </w:p>
    <w:p>
      <w:r>
        <w:rPr>
          <w:rFonts w:ascii="Times New Roman" w:hAnsi="Times New Roman" w:eastAsia="Times New Roman"/>
          <w:b w:val="0"/>
          <w:i w:val="0"/>
          <w:sz w:val="22"/>
        </w:rPr>
        <w:t>1. Bên B có quyền tạm ngừng giao hàng, thi công, bảo trì hoặc cung cấp dịch vụ nếu Bên A chậm thanh toán, không bàn giao mặt bằng, không xác nhận phát sinh cần thiết hoặc có hành vi làm phát sinh rủi ro an toàn/hồ sơ vượt ngoài thỏa thuận.</w:t>
      </w:r>
    </w:p>
    <w:p>
      <w:r>
        <w:rPr>
          <w:rFonts w:ascii="Times New Roman" w:hAnsi="Times New Roman" w:eastAsia="Times New Roman"/>
          <w:b w:val="0"/>
          <w:i w:val="0"/>
          <w:sz w:val="22"/>
        </w:rPr>
        <w:t>2. Việc tạm ngừng phải được thông báo cho Bên A trong thời gian hợp lý. Tiến độ thực hiện sẽ được gia hạn tương ứng với thời gian bị ảnh hưởng và các chi phí phát sinh hợp lý, nếu có, do bên gây ra nguyên nhân chịu trách nhiệm.</w:t>
      </w:r>
    </w:p>
    <w:p>
      <w:pPr>
        <w:keepNext/>
        <w:spacing w:before="100"/>
      </w:pPr>
      <w:r>
        <w:rPr>
          <w:rFonts w:ascii="Times New Roman" w:hAnsi="Times New Roman" w:eastAsia="Times New Roman"/>
          <w:b/>
          <w:i w:val="0"/>
          <w:sz w:val="22"/>
        </w:rPr>
        <w:t>Điều 7. Nghiệm thu mặc nhiên</w:t>
      </w:r>
    </w:p>
    <w:p>
      <w:r>
        <w:rPr>
          <w:rFonts w:ascii="Times New Roman" w:hAnsi="Times New Roman" w:eastAsia="Times New Roman"/>
          <w:b w:val="0"/>
          <w:i w:val="0"/>
          <w:sz w:val="22"/>
        </w:rPr>
        <w:t>Nếu bên nhận hàng/dịch vụ đã nhận, sử dụng hoặc không phản hồi bằng văn bản trong thời hạn thỏa thuận kể từ khi nhận thông báo nghiệm thu/bàn giao, kết quả được xem là đã được chấp nhận, trừ lỗi ẩn hoặc lỗi kỹ thuật được chứng minh hợp lệ.</w:t>
      </w:r>
    </w:p>
    <w:p>
      <w:pPr>
        <w:keepNext/>
        <w:spacing w:before="100"/>
      </w:pPr>
      <w:r>
        <w:rPr>
          <w:rFonts w:ascii="Times New Roman" w:hAnsi="Times New Roman" w:eastAsia="Times New Roman"/>
          <w:b/>
          <w:i w:val="0"/>
          <w:sz w:val="22"/>
        </w:rPr>
        <w:t>Điều 8. Sở hữu, rủi ro và giữ hàng hóa</w:t>
      </w:r>
    </w:p>
    <w:p>
      <w:r>
        <w:rPr>
          <w:rFonts w:ascii="Times New Roman" w:hAnsi="Times New Roman" w:eastAsia="Times New Roman"/>
          <w:b w:val="0"/>
          <w:i w:val="0"/>
          <w:sz w:val="22"/>
        </w:rPr>
        <w:t>Quyền sở hữu/rủi ro đối với hàng hóa được chuyển giao theo thời điểm hai bên ký biên bản giao nhận hoặc theo thỏa thuận cụ thể. Đối với hàng hóa chưa thanh toán đầy đủ, Bên B có quyền áp dụng biện pháp bảo lưu/giữ hàng trong phạm vi pháp luật và thỏa thuận cho phép.</w:t>
      </w:r>
    </w:p>
    <w:p>
      <w:r>
        <w:rPr>
          <w:rFonts w:ascii="Times New Roman" w:hAnsi="Times New Roman" w:eastAsia="Times New Roman"/>
          <w:b w:val="0"/>
          <w:i w:val="0"/>
          <w:sz w:val="22"/>
        </w:rPr>
      </w:r>
    </w:p>
    <w:tbl>
      <w:tblPr>
        <w:tblStyle w:val="TableGrid"/>
        <w:tblW w:type="auto" w:w="0"/>
        <w:tblLook w:firstColumn="1" w:firstRow="1" w:lastColumn="0" w:lastRow="0" w:noHBand="0" w:noVBand="1" w:val="04A0"/>
      </w:tblPr>
      <w:tblGrid>
        <w:gridCol w:w="5071"/>
        <w:gridCol w:w="5071"/>
      </w:tblGrid>
      <w:tr>
        <w:tc>
          <w:tcPr>
            <w:tcW w:type="dxa" w:w="5071"/>
            <w:vAlign w:val="center"/>
            <w:shd w:fill="D9EAF7"/>
          </w:tcPr>
          <w:p>
            <w:pPr>
              <w:jc w:val="center"/>
            </w:pPr>
            <w:r/>
            <w:r>
              <w:rPr>
                <w:rFonts w:ascii="Times New Roman" w:hAnsi="Times New Roman" w:eastAsia="Times New Roman"/>
                <w:b/>
                <w:sz w:val="22"/>
              </w:rPr>
              <w:t>ĐẠI DIỆN BÊN A</w:t>
              <w:br/>
              <w:t>(Ký, ghi rõ họ tên, chức vụ, đóng dấu)</w:t>
            </w:r>
          </w:p>
        </w:tc>
        <w:tc>
          <w:tcPr>
            <w:tcW w:type="dxa" w:w="5071"/>
            <w:vAlign w:val="center"/>
            <w:shd w:fill="D9EAF7"/>
          </w:tcPr>
          <w:p>
            <w:pPr>
              <w:jc w:val="center"/>
            </w:pPr>
            <w:r/>
            <w:r>
              <w:rPr>
                <w:rFonts w:ascii="Times New Roman" w:hAnsi="Times New Roman" w:eastAsia="Times New Roman"/>
                <w:b/>
                <w:sz w:val="22"/>
              </w:rPr>
              <w:t>ĐẠI DIỆN BÊN B</w:t>
              <w:br/>
              <w:t>(Ký, ghi rõ họ tên, chức vụ, đóng dấu)</w:t>
            </w:r>
          </w:p>
        </w:tc>
      </w:tr>
      <w:tr>
        <w:tc>
          <w:tcPr>
            <w:tcW w:type="dxa" w:w="5071"/>
            <w:vAlign w:val="center"/>
          </w:tcPr>
          <w:p>
            <w:pPr>
              <w:jc w:val="center"/>
            </w:pPr>
            <w:r/>
            <w:r>
              <w:rPr>
                <w:rFonts w:ascii="Times New Roman" w:hAnsi="Times New Roman" w:eastAsia="Times New Roman"/>
                <w:b/>
                <w:sz w:val="22"/>
              </w:rPr>
              <w:br/>
              <w:br/>
              <w:br/>
              <w:br/>
              <w:br/>
              <w:t>{{ben_a_nguoi_ky}}</w:t>
            </w:r>
          </w:p>
        </w:tc>
        <w:tc>
          <w:tcPr>
            <w:tcW w:type="dxa" w:w="5071"/>
            <w:vAlign w:val="center"/>
          </w:tcPr>
          <w:p>
            <w:pPr>
              <w:jc w:val="center"/>
            </w:pPr>
            <w:r/>
            <w:r>
              <w:rPr>
                <w:rFonts w:ascii="Times New Roman" w:hAnsi="Times New Roman" w:eastAsia="Times New Roman"/>
                <w:b/>
                <w:sz w:val="22"/>
              </w:rPr>
              <w:br/>
              <w:br/>
              <w:br/>
              <w:br/>
              <w:br/>
              <w:t>{{ben_b_nguoi_ky}}</w:t>
            </w:r>
          </w:p>
        </w:tc>
      </w:tr>
    </w:tbl>
    <w:sectPr w:rsidR="00FC693F" w:rsidRPr="0006063C" w:rsidSect="00034616">
      <w:headerReference w:type="default" r:id="rId9"/>
      <w:footerReference w:type="default" r:id="rId10"/>
      <w:pgSz w:w="12240" w:h="15840"/>
      <w:pgMar w:top="964" w:right="96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Trang </w:t>
    </w:r>
    <w:fldSimple w:instr="PAGE"/>
    <w:r>
      <w:rPr>
        <w:rFonts w:ascii="Times New Roman" w:hAnsi="Times New Roman"/>
        <w:color w:val="646464"/>
        <w:sz w:val="18"/>
      </w:rPr>
      <w:t xml:space="preserve"> | THANH HOÀI Contract Template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sz w:val="18"/>
      </w:rPr>
      <w:t>THANH HOÀI ERP - BỘ MẪU HỢP ĐỒNG</w:t>
    </w:r>
  </w:p>
  <w:p>
    <w:pPr>
      <w:jc w:val="center"/>
    </w:pPr>
    <w:r>
      <w:rPr>
        <w:rFonts w:ascii="Times New Roman" w:hAnsi="Times New Roman"/>
        <w:color w:val="5A5A5A"/>
        <w:sz w:val="16"/>
      </w:rPr>
      <w:t>PHỤ LỤC ĐIỀU KHOẢN CHÍNH SÁCH CHUNG | Mã mẫu: PL-CS-TH-v1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