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52" w:lineRule="auto"/>
        <w:jc w:val="center"/>
      </w:pPr>
      <w:r>
        <w:rPr>
          <w:rFonts w:ascii="Times New Roman" w:hAnsi="Times New Roman" w:eastAsia="Times New Roman"/>
          <w:b/>
          <w:i w:val="0"/>
          <w:sz w:val="24"/>
        </w:rPr>
        <w:t>CỘNG HÒA XÃ HỘI CHỦ NGHĨA VIỆT NAM</w:t>
      </w:r>
    </w:p>
    <w:p>
      <w:pPr>
        <w:spacing w:after="40" w:line="252" w:lineRule="auto"/>
        <w:jc w:val="center"/>
      </w:pPr>
      <w:r>
        <w:rPr>
          <w:rFonts w:ascii="Times New Roman" w:hAnsi="Times New Roman" w:eastAsia="Times New Roman"/>
          <w:b/>
          <w:i w:val="0"/>
          <w:sz w:val="22"/>
        </w:rPr>
        <w:t>Độc lập - Tự do - Hạnh phúc</w:t>
      </w:r>
    </w:p>
    <w:p>
      <w:pPr>
        <w:spacing w:after="40" w:line="252" w:lineRule="auto"/>
        <w:jc w:val="center"/>
      </w:pPr>
      <w:r>
        <w:rPr>
          <w:rFonts w:ascii="Times New Roman" w:hAnsi="Times New Roman" w:eastAsia="Times New Roman"/>
          <w:b w:val="0"/>
          <w:i w:val="0"/>
          <w:sz w:val="20"/>
        </w:rPr>
        <w:t>---o0o---</w:t>
      </w:r>
    </w:p>
    <w:p>
      <w:pPr>
        <w:spacing w:after="40" w:line="252" w:lineRule="auto"/>
        <w:jc w:val="center"/>
      </w:pPr>
      <w:r>
        <w:rPr>
          <w:rFonts w:ascii="Times New Roman" w:hAnsi="Times New Roman" w:eastAsia="Times New Roman"/>
          <w:b/>
          <w:i w:val="0"/>
          <w:sz w:val="32"/>
        </w:rPr>
        <w:t>HỢP ĐỒNG NGUYÊN TẮC</w:t>
      </w:r>
    </w:p>
    <w:p>
      <w:pPr>
        <w:spacing w:after="40" w:line="252" w:lineRule="auto"/>
        <w:jc w:val="center"/>
      </w:pPr>
      <w:r>
        <w:rPr>
          <w:rFonts w:ascii="Times New Roman" w:hAnsi="Times New Roman" w:eastAsia="Times New Roman"/>
          <w:b/>
          <w:i w:val="0"/>
          <w:sz w:val="22"/>
        </w:rPr>
        <w:t>Số: {{so_hop_dong}}/HĐNT/TH</w:t>
      </w:r>
    </w:p>
    <w:p>
      <w:pPr>
        <w:spacing w:after="40" w:line="252" w:lineRule="auto"/>
      </w:pPr>
      <w:r>
        <w:rPr>
          <w:rFonts w:ascii="Times New Roman" w:hAnsi="Times New Roman" w:eastAsia="Times New Roman"/>
          <w:b/>
          <w:i w:val="0"/>
          <w:sz w:val="20"/>
        </w:rPr>
        <w:t>Căn cứ ký kết:</w:t>
      </w:r>
    </w:p>
    <w:p>
      <w:pPr>
        <w:spacing w:after="20"/>
        <w:ind w:left="227"/>
      </w:pPr>
      <w:r>
        <w:rPr>
          <w:rFonts w:ascii="Times New Roman" w:hAnsi="Times New Roman" w:eastAsia="Times New Roman"/>
          <w:sz w:val="18"/>
        </w:rPr>
        <w:t>• Bộ luật Dân sự năm 2015, đặc biệt các quy định về giao kết, thực hiện hợp đồng, phạt vi phạm, bồi thường thiệt hại, chậm thực hiện nghĩa vụ, bất khả kháng, tạm ngừng/đơn phương chấm dứt hợp đồng và hiệu lực giao dịch dân sự;</w:t>
      </w:r>
    </w:p>
    <w:p>
      <w:pPr>
        <w:spacing w:after="20"/>
        <w:ind w:left="227"/>
      </w:pPr>
      <w:r>
        <w:rPr>
          <w:rFonts w:ascii="Times New Roman" w:hAnsi="Times New Roman" w:eastAsia="Times New Roman"/>
          <w:sz w:val="18"/>
        </w:rPr>
        <w:t>• Luật Thương mại năm 2005, đặc biệt các quy định về phạt vi phạm, bồi thường thiệt hại, lãi chậm thanh toán, tạm ngừng/đình chỉ/hủy bỏ hợp đồng, mua bán hàng hóa, cung ứng dịch vụ và nghĩa vụ của thương nhân;</w:t>
      </w:r>
    </w:p>
    <w:p>
      <w:pPr>
        <w:spacing w:after="20"/>
        <w:ind w:left="227"/>
      </w:pPr>
      <w:r>
        <w:rPr>
          <w:rFonts w:ascii="Times New Roman" w:hAnsi="Times New Roman" w:eastAsia="Times New Roman"/>
          <w:sz w:val="18"/>
        </w:rPr>
        <w:t>• Luật Giao dịch điện tử năm 2023 và các văn bản hướng dẫn về thông điệp dữ liệu, chứng cứ điện tử, chữ ký điện tử/chữ ký số và giá trị pháp lý của giao dịch điện tử;</w:t>
      </w:r>
    </w:p>
    <w:p>
      <w:pPr>
        <w:spacing w:after="20"/>
        <w:ind w:left="227"/>
      </w:pPr>
      <w:r>
        <w:rPr>
          <w:rFonts w:ascii="Times New Roman" w:hAnsi="Times New Roman" w:eastAsia="Times New Roman"/>
          <w:sz w:val="18"/>
        </w:rPr>
        <w:t>• Bộ luật Tố tụng dân sự năm 2015, đặc biệt quy định về chứng cứ và nguồn chứng cứ khi có tranh chấp;</w:t>
      </w:r>
    </w:p>
    <w:p>
      <w:pPr>
        <w:spacing w:after="20"/>
        <w:ind w:left="227"/>
      </w:pPr>
      <w:r>
        <w:rPr>
          <w:rFonts w:ascii="Times New Roman" w:hAnsi="Times New Roman" w:eastAsia="Times New Roman"/>
          <w:sz w:val="18"/>
        </w:rPr>
        <w:t>• Nghị quyết 01/2019/NQ-HĐTP và các hướng dẫn xét xử có liên quan đến xác định lãi suất, lãi chậm trả và nghĩa vụ thanh toán;</w:t>
      </w:r>
    </w:p>
    <w:p>
      <w:pPr>
        <w:spacing w:after="20"/>
        <w:ind w:left="227"/>
      </w:pPr>
      <w:r>
        <w:rPr>
          <w:rFonts w:ascii="Times New Roman" w:hAnsi="Times New Roman" w:eastAsia="Times New Roman"/>
          <w:sz w:val="18"/>
        </w:rPr>
        <w:t>• Các quy định pháp luật hiện hành về thuế, hóa đơn, chứng từ, an toàn lao động, an toàn điện, phòng cháy chữa cháy, bảo vệ dữ liệu/hồ sơ, bảo hành và quy định chuyên ngành có liên quan tại thời điểm ký kết và thực hiện hợp đồng;</w:t>
      </w:r>
    </w:p>
    <w:p>
      <w:pPr>
        <w:spacing w:after="20"/>
        <w:ind w:left="227"/>
      </w:pPr>
      <w:r>
        <w:rPr>
          <w:rFonts w:ascii="Times New Roman" w:hAnsi="Times New Roman" w:eastAsia="Times New Roman"/>
          <w:sz w:val="18"/>
        </w:rPr>
        <w:t>• Báo giá, phụ lục, đơn đặt hàng, biên bản khảo sát, biên bản giao nhận, biên bản nghiệm thu, bảng quyết toán, thư đề nghị thanh toán, email/xác nhận điện tử và các tài liệu hợp lệ khác của hai bên.</w:t>
      </w:r>
    </w:p>
    <w:p>
      <w:pPr>
        <w:spacing w:after="40" w:line="252" w:lineRule="auto"/>
      </w:pPr>
      <w:r>
        <w:rPr>
          <w:rFonts w:ascii="Times New Roman" w:hAnsi="Times New Roman" w:eastAsia="Times New Roman"/>
          <w:b w:val="0"/>
          <w:i/>
          <w:sz w:val="20"/>
        </w:rPr>
        <w:t>Hôm nay, ngày {{ngay}} tháng {{thang}} năm {{nam}}, tại {{dia_diem_ky}}, chúng tôi gồm:</w:t>
      </w:r>
    </w:p>
    <w:tbl>
      <w:tblPr>
        <w:tblStyle w:val="TableGrid"/>
        <w:tblW w:type="auto" w:w="0"/>
        <w:jc w:val="center"/>
        <w:tblLook w:firstColumn="1" w:firstRow="1" w:lastColumn="0" w:lastRow="0" w:noHBand="0" w:noVBand="1" w:val="04A0"/>
      </w:tblPr>
      <w:tblGrid>
        <w:gridCol w:w="5270"/>
        <w:gridCol w:w="5270"/>
      </w:tblGrid>
      <w:tr>
        <w:trPr>
          <w:tblHeader w:val="true"/>
        </w:trPr>
        <w:tc>
          <w:tcPr>
            <w:tcW w:type="dxa" w:w="5270"/>
            <w:vAlign w:val="center"/>
            <w:shd w:fill="D9EAF7"/>
          </w:tcPr>
          <w:p>
            <w:pPr>
              <w:spacing w:after="20"/>
              <w:jc w:val="center"/>
            </w:pPr>
            <w:r/>
            <w:r>
              <w:rPr>
                <w:rFonts w:ascii="Times New Roman" w:hAnsi="Times New Roman" w:eastAsia="Times New Roman"/>
                <w:b/>
                <w:sz w:val="20"/>
              </w:rPr>
              <w:t>BÊN A - KHÁCH HÀNG / ĐỐI TÁC</w:t>
            </w:r>
          </w:p>
        </w:tc>
        <w:tc>
          <w:tcPr>
            <w:tcW w:type="dxa" w:w="5270"/>
            <w:vAlign w:val="center"/>
            <w:shd w:fill="D9EAF7"/>
          </w:tcPr>
          <w:p>
            <w:pPr>
              <w:spacing w:after="20"/>
              <w:jc w:val="center"/>
            </w:pPr>
            <w:r/>
            <w:r>
              <w:rPr>
                <w:rFonts w:ascii="Times New Roman" w:hAnsi="Times New Roman" w:eastAsia="Times New Roman"/>
                <w:b/>
                <w:sz w:val="20"/>
              </w:rPr>
              <w:t>BÊN B - THANH HOÀI</w:t>
            </w:r>
          </w:p>
        </w:tc>
      </w:tr>
      <w:tr>
        <w:tc>
          <w:tcPr>
            <w:tcW w:type="dxa" w:w="5270"/>
            <w:vAlign w:val="center"/>
          </w:tcPr>
          <w:p>
            <w:pPr>
              <w:spacing w:after="20"/>
              <w:jc w:val="left"/>
            </w:pPr>
            <w:r/>
            <w:r>
              <w:rPr>
                <w:rFonts w:ascii="Times New Roman" w:hAnsi="Times New Roman" w:eastAsia="Times New Roman"/>
                <w:b w:val="0"/>
                <w:sz w:val="20"/>
              </w:rPr>
              <w:t>Tên đơn vị: {{ben_a_ten}}</w:t>
              <w:br/>
              <w:t>Địa chỉ: {{ben_a_dia_chi}}</w:t>
              <w:br/>
              <w:t>Mã số thuế: {{ben_a_mst}}</w:t>
              <w:br/>
              <w:t>Điện thoại: {{ben_a_dien_thoai}}</w:t>
              <w:br/>
              <w:t>Email: {{ben_a_email}}</w:t>
              <w:br/>
              <w:t>Đại diện: {{ben_a_dai_dien}}</w:t>
              <w:br/>
              <w:t>Chức vụ: {{ben_a_chuc_vu}}</w:t>
              <w:br/>
              <w:t>Tài khoản: {{ben_a_tai_khoan}}</w:t>
              <w:br/>
              <w:t>Ngân hàng: {{ben_a_ngan_hang}}</w:t>
            </w:r>
          </w:p>
        </w:tc>
        <w:tc>
          <w:tcPr>
            <w:tcW w:type="dxa" w:w="5270"/>
            <w:vAlign w:val="center"/>
          </w:tcPr>
          <w:p>
            <w:pPr>
              <w:spacing w:after="20"/>
              <w:jc w:val="left"/>
            </w:pPr>
            <w:r/>
            <w:r>
              <w:rPr>
                <w:rFonts w:ascii="Times New Roman" w:hAnsi="Times New Roman" w:eastAsia="Times New Roman"/>
                <w:b w:val="0"/>
                <w:sz w:val="20"/>
              </w:rPr>
              <w:t>Tên đơn vị: CÔNG TY TNHH MTV CƠ ĐIỆN LẠNH THANH HOÀI</w:t>
              <w:br/>
              <w:t>Địa chỉ: 448/3, Tổ 16, KP 2, Phường Long Hưng, TP Đồng Nai, Việt Nam</w:t>
              <w:br/>
              <w:t>Mã số thuế: 3602504881</w:t>
              <w:br/>
              <w:t>Điện thoại: 02513 835 395</w:t>
              <w:br/>
              <w:t>Email: {ben_b_email}</w:t>
              <w:br/>
              <w:t>Đại diện: PHAN TRẦN ANH QUÂN</w:t>
              <w:br/>
              <w:t>Chức vụ: Giám đốc</w:t>
              <w:br/>
              <w:t>Tài khoản: 136822159</w:t>
              <w:br/>
              <w:t>Ngân hàng: Ngân hàng ACB - Chi nhánh/PGD Long Bình Tân, Đồng Nai</w:t>
            </w:r>
          </w:p>
        </w:tc>
      </w:tr>
    </w:tbl>
    <w:p>
      <w:pPr>
        <w:spacing w:after="40" w:line="252" w:lineRule="auto"/>
      </w:pPr>
      <w:r>
        <w:rPr>
          <w:rFonts w:ascii="Times New Roman" w:hAnsi="Times New Roman" w:eastAsia="Times New Roman"/>
          <w:b w:val="0"/>
          <w:i w:val="0"/>
          <w:sz w:val="20"/>
        </w:rPr>
      </w:r>
    </w:p>
    <w:p>
      <w:pPr>
        <w:spacing w:after="40" w:line="252" w:lineRule="auto"/>
      </w:pPr>
      <w:r>
        <w:rPr>
          <w:rFonts w:ascii="Times New Roman" w:hAnsi="Times New Roman" w:eastAsia="Times New Roman"/>
          <w:b w:val="0"/>
          <w:i w:val="0"/>
          <w:sz w:val="20"/>
        </w:rPr>
        <w:t>Sau khi bàn bạc trên tinh thần thiện chí, trung thực, bình đẳng và cùng có lợi, hai bên thống nhất ký kết văn bản này với các điều khoản sau:</w:t>
      </w:r>
    </w:p>
    <w:p>
      <w:pPr>
        <w:spacing w:after="40" w:line="252" w:lineRule="auto"/>
      </w:pPr>
      <w:r>
        <w:rPr>
          <w:rFonts w:ascii="Times New Roman" w:hAnsi="Times New Roman" w:eastAsia="Times New Roman"/>
          <w:b/>
          <w:i w:val="0"/>
          <w:sz w:val="21"/>
        </w:rPr>
        <w:t>Điều 1. Mục đích, phạm vi áp dụng và thứ tự ưu tiên</w:t>
      </w:r>
    </w:p>
    <w:p>
      <w:pPr>
        <w:spacing w:after="40"/>
        <w:ind w:left="227" w:hanging="142"/>
      </w:pPr>
      <w:r>
        <w:rPr>
          <w:rFonts w:ascii="Times New Roman" w:hAnsi="Times New Roman" w:eastAsia="Times New Roman"/>
          <w:sz w:val="20"/>
        </w:rPr>
        <w:t>1. Hợp đồng này là căn cứ pháp lý chung để hai bên thiết lập và thực hiện các giao dịch phát sinh trong tương lai liên quan đến mua bán hàng hóa, thiết bị, vật tư; thi công, lắp đặt hệ thống cơ điện lạnh; bảo trì, bảo dưỡng, sửa chữa và các dịch vụ kỹ thuật khác.</w:t>
      </w:r>
    </w:p>
    <w:p>
      <w:pPr>
        <w:spacing w:after="40"/>
        <w:ind w:left="227" w:hanging="142"/>
      </w:pPr>
      <w:r>
        <w:rPr>
          <w:rFonts w:ascii="Times New Roman" w:hAnsi="Times New Roman" w:eastAsia="Times New Roman"/>
          <w:sz w:val="20"/>
        </w:rPr>
        <w:t>2. Hợp đồng nguyên tắc không bắt buộc phát sinh giao dịch cụ thể. Từng giao dịch chỉ có hiệu lực khi được xác lập bằng báo giá, đơn đặt hàng, phụ lục, email xác nhận, biên bản giao nhận, biên bản nghiệm thu, hóa đơn hoặc văn bản hợp lệ khác.</w:t>
      </w:r>
    </w:p>
    <w:p>
      <w:pPr>
        <w:spacing w:after="40"/>
        <w:ind w:left="227" w:hanging="142"/>
      </w:pPr>
      <w:r>
        <w:rPr>
          <w:rFonts w:ascii="Times New Roman" w:hAnsi="Times New Roman" w:eastAsia="Times New Roman"/>
          <w:sz w:val="20"/>
        </w:rPr>
        <w:t>3. Trường hợp có khác biệt giữa Hợp đồng nguyên tắc và tài liệu giao dịch cụ thể, tài liệu giao dịch cụ thể được ưu tiên áp dụng cho phạm vi giao dịch đó nếu không trái quy định pháp luật bắt buộc.</w:t>
      </w:r>
    </w:p>
    <w:p>
      <w:pPr>
        <w:spacing w:after="40"/>
        <w:ind w:left="227" w:hanging="142"/>
      </w:pPr>
      <w:r>
        <w:rPr>
          <w:rFonts w:ascii="Times New Roman" w:hAnsi="Times New Roman" w:eastAsia="Times New Roman"/>
          <w:sz w:val="20"/>
        </w:rPr>
        <w:t>4. Email, tin nhắn, hệ thống quản lý công việc/đơn hàng và văn bản điện tử có thể được dùng làm căn cứ tham chiếu nếu xác định được người gửi, thời điểm gửi và nội dung trao đổi.</w:t>
      </w:r>
    </w:p>
    <w:p>
      <w:pPr>
        <w:spacing w:before="20" w:after="80"/>
        <w:ind w:left="198"/>
      </w:pPr>
      <w:r>
        <w:rPr>
          <w:rFonts w:ascii="Times New Roman" w:hAnsi="Times New Roman" w:eastAsia="Times New Roman"/>
          <w:i/>
          <w:color w:val="464646"/>
          <w:sz w:val="17"/>
        </w:rPr>
        <w:t>Cơ sở pháp lý tham chiếu nội bộ: Bộ luật Dân sự 2015 về giao kết, hiệu lực và giải thích hợp đồng; Luật Thương mại 2005 về hoạt động thương mại; Luật Giao dịch điện tử 2023 về thông điệp dữ liệu.</w:t>
      </w:r>
    </w:p>
    <w:p>
      <w:pPr>
        <w:spacing w:after="40" w:line="252" w:lineRule="auto"/>
      </w:pPr>
      <w:r>
        <w:rPr>
          <w:rFonts w:ascii="Times New Roman" w:hAnsi="Times New Roman" w:eastAsia="Times New Roman"/>
          <w:b/>
          <w:i w:val="0"/>
          <w:sz w:val="21"/>
        </w:rPr>
        <w:t>Điều 2. Đặt hàng, báo giá, xác nhận và điều chỉnh giá</w:t>
      </w:r>
    </w:p>
    <w:p>
      <w:pPr>
        <w:spacing w:after="40"/>
        <w:ind w:left="227" w:hanging="142"/>
      </w:pPr>
      <w:r>
        <w:rPr>
          <w:rFonts w:ascii="Times New Roman" w:hAnsi="Times New Roman" w:eastAsia="Times New Roman"/>
          <w:sz w:val="20"/>
        </w:rPr>
        <w:t>1. Bên A gửi yêu cầu bằng văn bản, email, tin nhắn hoặc hệ thống quản lý đơn hàng. Bên B phản hồi báo giá, tiến độ, điều kiện kỹ thuật, điều kiện thanh toán và thời gian thực hiện.</w:t>
      </w:r>
    </w:p>
    <w:p>
      <w:pPr>
        <w:spacing w:after="40"/>
        <w:ind w:left="227" w:hanging="142"/>
      </w:pPr>
      <w:r>
        <w:rPr>
          <w:rFonts w:ascii="Times New Roman" w:hAnsi="Times New Roman" w:eastAsia="Times New Roman"/>
          <w:sz w:val="20"/>
        </w:rPr>
        <w:t>2. Chỉ khi Bên A xác nhận báo giá/đơn đặt hàng/phụ lục bằng văn bản/email hợp lệ thì giao dịch cụ thể mới được xem là có hiệu lực thực hiện.</w:t>
      </w:r>
    </w:p>
    <w:p>
      <w:pPr>
        <w:spacing w:after="40"/>
        <w:ind w:left="227" w:hanging="142"/>
      </w:pPr>
      <w:r>
        <w:rPr>
          <w:rFonts w:ascii="Times New Roman" w:hAnsi="Times New Roman" w:eastAsia="Times New Roman"/>
          <w:sz w:val="20"/>
        </w:rPr>
        <w:t>3. Giá được xác định theo từng báo giá hoặc phụ lục và có thể đã bao gồm hoặc chưa bao gồm VAT tùy nội dung thể hiện.</w:t>
      </w:r>
    </w:p>
    <w:p>
      <w:pPr>
        <w:spacing w:after="40"/>
        <w:ind w:left="227" w:hanging="142"/>
      </w:pPr>
      <w:r>
        <w:rPr>
          <w:rFonts w:ascii="Times New Roman" w:hAnsi="Times New Roman" w:eastAsia="Times New Roman"/>
          <w:sz w:val="20"/>
        </w:rPr>
        <w:t>4. Khi có biến động vật tư, vận chuyển, nhân công, chính sách thuế, tỷ giá hoặc yếu tố khách quan làm ảnh hưởng giá thành, Bên B có quyền đề xuất điều chỉnh giá. Điều chỉnh chỉ có hiệu lực khi Bên A chấp thuận bằng văn bản/email hợp lệ.</w:t>
      </w:r>
    </w:p>
    <w:p>
      <w:pPr>
        <w:spacing w:after="40"/>
        <w:ind w:left="227" w:hanging="142"/>
      </w:pPr>
      <w:r>
        <w:rPr>
          <w:rFonts w:ascii="Times New Roman" w:hAnsi="Times New Roman" w:eastAsia="Times New Roman"/>
          <w:sz w:val="20"/>
        </w:rPr>
        <w:t>5. Nếu Bên A yêu cầu triển khai gấp bằng miệng vì lý do vận hành/an toàn, Bên A phải xác nhận lại bằng văn bản/email trong vòng 02 ngày làm việc kể từ khi Bên B gửi xác nhận nội dung phát sinh.</w:t>
      </w:r>
    </w:p>
    <w:p>
      <w:pPr>
        <w:spacing w:before="20" w:after="80"/>
        <w:ind w:left="198"/>
      </w:pPr>
      <w:r>
        <w:rPr>
          <w:rFonts w:ascii="Times New Roman" w:hAnsi="Times New Roman" w:eastAsia="Times New Roman"/>
          <w:i/>
          <w:color w:val="464646"/>
          <w:sz w:val="17"/>
        </w:rPr>
        <w:t>Cơ sở pháp lý tham chiếu nội bộ: Nguyên tắc tự do thỏa thuận của Bộ luật Dân sự 2015; Luật Thương mại 2005 về giao kết, mua bán hàng hóa/cung ứng dịch vụ và nghĩa vụ thanh toán.</w:t>
      </w:r>
    </w:p>
    <w:p>
      <w:pPr>
        <w:spacing w:after="40" w:line="252" w:lineRule="auto"/>
      </w:pPr>
      <w:r>
        <w:rPr>
          <w:rFonts w:ascii="Times New Roman" w:hAnsi="Times New Roman" w:eastAsia="Times New Roman"/>
          <w:b/>
          <w:i w:val="0"/>
          <w:sz w:val="21"/>
        </w:rPr>
        <w:t>Điều 3. Thanh toán, lãi chậm trả và quyền tạm ngừng</w:t>
      </w:r>
    </w:p>
    <w:p>
      <w:pPr>
        <w:spacing w:after="40"/>
        <w:ind w:left="227" w:hanging="142"/>
      </w:pPr>
      <w:r>
        <w:rPr>
          <w:rFonts w:ascii="Times New Roman" w:hAnsi="Times New Roman" w:eastAsia="Times New Roman"/>
          <w:sz w:val="20"/>
        </w:rPr>
        <w:t>1. Phương thức thanh toán là chuyển khoản hoặc hình thức khác do hai bên thỏa thuận. Tỷ lệ, thời hạn và hồ sơ thanh toán của từng giao dịch được ghi tại báo giá, đơn đặt hàng, phụ lục hoặc hợp đồng con.</w:t>
      </w:r>
    </w:p>
    <w:p>
      <w:pPr>
        <w:spacing w:after="40"/>
        <w:ind w:left="227" w:hanging="142"/>
      </w:pPr>
      <w:r>
        <w:rPr>
          <w:rFonts w:ascii="Times New Roman" w:hAnsi="Times New Roman" w:eastAsia="Times New Roman"/>
          <w:sz w:val="20"/>
        </w:rPr>
        <w:t>2. Hồ sơ thanh toán hợp lệ có thể gồm thư đề nghị thanh toán, biên bản giao nhận, biên bản nghiệm thu, hóa đơn, phiếu xuất kho, bảng xác nhận khối lượng, bảng quyết toán, tài liệu kỹ thuật và giấy tờ khác theo thỏa thuận.</w:t>
      </w:r>
    </w:p>
    <w:p>
      <w:pPr>
        <w:spacing w:after="40"/>
        <w:ind w:left="227" w:hanging="142"/>
      </w:pPr>
      <w:r>
        <w:rPr>
          <w:rFonts w:ascii="Times New Roman" w:hAnsi="Times New Roman" w:eastAsia="Times New Roman"/>
          <w:sz w:val="20"/>
        </w:rPr>
        <w:t>3. Nếu Bên A chậm thanh toán quá 07 ngày kể từ ngày đến hạn, Bên B có quyền yêu cầu lãi chậm trả với mức 1,5%/tháng trên số tiền chậm trả, tính từ ngày đến hạn đến ngày thanh toán đầy đủ. Nếu pháp luật áp dụng quy định mức tối đa thấp hơn, mức lãi được tự động điều chỉnh về mức tối đa được phép.</w:t>
      </w:r>
    </w:p>
    <w:p>
      <w:pPr>
        <w:spacing w:after="40"/>
        <w:ind w:left="227" w:hanging="142"/>
      </w:pPr>
      <w:r>
        <w:rPr>
          <w:rFonts w:ascii="Times New Roman" w:hAnsi="Times New Roman" w:eastAsia="Times New Roman"/>
          <w:sz w:val="20"/>
        </w:rPr>
        <w:t>4. Nếu Bên A chậm thanh toán quá 05 ngày làm việc, Bên B có quyền gửi thông báo yêu cầu khắc phục trong 05 ngày làm việc. Hết thời hạn này mà Bên A vẫn chưa thanh toán đầy đủ, Bên B có quyền tạm ngừng giao hàng, thi công, bảo trì hoặc cung cấp dịch vụ tương ứng.</w:t>
      </w:r>
    </w:p>
    <w:p>
      <w:pPr>
        <w:spacing w:after="40"/>
        <w:ind w:left="227" w:hanging="142"/>
      </w:pPr>
      <w:r>
        <w:rPr>
          <w:rFonts w:ascii="Times New Roman" w:hAnsi="Times New Roman" w:eastAsia="Times New Roman"/>
          <w:sz w:val="20"/>
        </w:rPr>
        <w:t>5. Trong thời gian tạm ngừng, tiến độ được gia hạn tương ứng; Bên B không bị xem là vi phạm tiến độ và có quyền yêu cầu Bên A thanh toán chi phí phát sinh hợp lý do việc tạm ngừng gây ra.</w:t>
      </w:r>
    </w:p>
    <w:p>
      <w:pPr>
        <w:spacing w:before="20" w:after="80"/>
        <w:ind w:left="198"/>
      </w:pPr>
      <w:r>
        <w:rPr>
          <w:rFonts w:ascii="Times New Roman" w:hAnsi="Times New Roman" w:eastAsia="Times New Roman"/>
          <w:i/>
          <w:color w:val="464646"/>
          <w:sz w:val="17"/>
        </w:rPr>
        <w:t>Cơ sở pháp lý tham chiếu nội bộ: Luật Thương mại 2005: Điều 306 về lãi chậm trả, Điều 308-312 về tạm ngừng/đình chỉ/hủy bỏ hợp đồng; Bộ luật Dân sự 2015: Điều 357, 411, 423, 424, 428, 468; Nghị quyết 01/2019/NQ-HĐTP: Điều 11 về xác định lãi suất trong tranh chấp.</w:t>
      </w:r>
    </w:p>
    <w:p>
      <w:pPr>
        <w:spacing w:after="40" w:line="252" w:lineRule="auto"/>
      </w:pPr>
      <w:r>
        <w:rPr>
          <w:rFonts w:ascii="Times New Roman" w:hAnsi="Times New Roman" w:eastAsia="Times New Roman"/>
          <w:b/>
          <w:i w:val="0"/>
          <w:sz w:val="21"/>
        </w:rPr>
        <w:t>Điều 4. Giao nhận, nghiệm thu và nghiệm thu mặc nhiên</w:t>
      </w:r>
    </w:p>
    <w:p>
      <w:pPr>
        <w:spacing w:after="40"/>
        <w:ind w:left="227" w:hanging="142"/>
      </w:pPr>
      <w:r>
        <w:rPr>
          <w:rFonts w:ascii="Times New Roman" w:hAnsi="Times New Roman" w:eastAsia="Times New Roman"/>
          <w:sz w:val="20"/>
        </w:rPr>
        <w:t>1. Việc giao nhận, nghiệm thu được thực hiện tại địa điểm và thời điểm do hai bên thỏa thuận trong từng giao dịch cụ thể.</w:t>
      </w:r>
    </w:p>
    <w:p>
      <w:pPr>
        <w:spacing w:after="40"/>
        <w:ind w:left="227" w:hanging="142"/>
      </w:pPr>
      <w:r>
        <w:rPr>
          <w:rFonts w:ascii="Times New Roman" w:hAnsi="Times New Roman" w:eastAsia="Times New Roman"/>
          <w:sz w:val="20"/>
        </w:rPr>
        <w:t>2. Nếu Bên A đã nhận hàng, sử dụng hàng hóa/dịch vụ hoặc không có phản đối bằng văn bản trong thời hạn 07 ngày làm việc kể từ khi nhận thông báo nghiệm thu/bàn giao, kết quả thực hiện được xem là đã được chấp nhận, trừ lỗi ẩn hoặc lỗi kỹ thuật thuộc trách nhiệm của Bên B được chứng minh hợp lệ.</w:t>
      </w:r>
    </w:p>
    <w:p>
      <w:pPr>
        <w:spacing w:after="40"/>
        <w:ind w:left="227" w:hanging="142"/>
      </w:pPr>
      <w:r>
        <w:rPr>
          <w:rFonts w:ascii="Times New Roman" w:hAnsi="Times New Roman" w:eastAsia="Times New Roman"/>
          <w:sz w:val="20"/>
        </w:rPr>
        <w:t>3. Việc Bên A đưa hàng hóa/dịch vụ/hạng mục vào sử dụng mà không phản đối bằng văn bản trong vòng 03 ngày làm việc được xem là căn cứ xác nhận khối lượng đã thực hiện để thanh toán.</w:t>
      </w:r>
    </w:p>
    <w:p>
      <w:pPr>
        <w:spacing w:after="40"/>
        <w:ind w:left="227" w:hanging="142"/>
      </w:pPr>
      <w:r>
        <w:rPr>
          <w:rFonts w:ascii="Times New Roman" w:hAnsi="Times New Roman" w:eastAsia="Times New Roman"/>
          <w:sz w:val="20"/>
        </w:rPr>
        <w:t>4. Từ chối nghiệm thu/giao nhận phải nêu rõ lý do kỹ thuật cụ thể và chứng cứ hợp lý; trì hoãn nghiệm thu không có lý do hợp lệ được xem là vi phạm nghĩa vụ phối hợp.</w:t>
      </w:r>
    </w:p>
    <w:p>
      <w:pPr>
        <w:spacing w:before="20" w:after="80"/>
        <w:ind w:left="198"/>
      </w:pPr>
      <w:r>
        <w:rPr>
          <w:rFonts w:ascii="Times New Roman" w:hAnsi="Times New Roman" w:eastAsia="Times New Roman"/>
          <w:i/>
          <w:color w:val="464646"/>
          <w:sz w:val="17"/>
        </w:rPr>
        <w:t>Cơ sở pháp lý tham chiếu nội bộ: Bộ luật Dân sự 2015: Điều 394, 400 và nguyên tắc tự do thỏa thuận; Luật Thương mại 2005 về kiểm tra hàng hóa, nghĩa vụ thông báo và nghiệm thu/giao nhận trong thương mại.</w:t>
      </w:r>
    </w:p>
    <w:p>
      <w:pPr>
        <w:spacing w:after="40" w:line="252" w:lineRule="auto"/>
      </w:pPr>
      <w:r>
        <w:rPr>
          <w:rFonts w:ascii="Times New Roman" w:hAnsi="Times New Roman" w:eastAsia="Times New Roman"/>
          <w:b/>
          <w:i w:val="0"/>
          <w:sz w:val="21"/>
        </w:rPr>
        <w:t>Điều 5. Bảo hành, bảo trì và loại trừ trách nhiệm</w:t>
      </w:r>
    </w:p>
    <w:p>
      <w:pPr>
        <w:spacing w:after="40"/>
        <w:ind w:left="227" w:hanging="142"/>
      </w:pPr>
      <w:r>
        <w:rPr>
          <w:rFonts w:ascii="Times New Roman" w:hAnsi="Times New Roman" w:eastAsia="Times New Roman"/>
          <w:sz w:val="20"/>
        </w:rPr>
        <w:t>1. Thời hạn, phạm vi bảo hành/bảo trì được quy định riêng theo từng hạng mục, báo giá, phụ lục, phiếu bảo hành hoặc văn bản xác nhận của hai bên.</w:t>
      </w:r>
    </w:p>
    <w:p>
      <w:pPr>
        <w:spacing w:after="40"/>
        <w:ind w:left="227" w:hanging="142"/>
      </w:pPr>
      <w:r>
        <w:rPr>
          <w:rFonts w:ascii="Times New Roman" w:hAnsi="Times New Roman" w:eastAsia="Times New Roman"/>
          <w:sz w:val="20"/>
        </w:rPr>
        <w:t>2. Bên B chỉ bảo hành đối với lỗi kỹ thuật phát sinh trực tiếp từ hàng hóa/công việc do Bên B cung cấp/thực hiện và thuộc phạm vi trách nhiệm của Bên B.</w:t>
      </w:r>
    </w:p>
    <w:p>
      <w:pPr>
        <w:spacing w:after="40"/>
        <w:ind w:left="227" w:hanging="142"/>
      </w:pPr>
      <w:r>
        <w:rPr>
          <w:rFonts w:ascii="Times New Roman" w:hAnsi="Times New Roman" w:eastAsia="Times New Roman"/>
          <w:sz w:val="20"/>
        </w:rPr>
        <w:t>3. Bên B không chịu trách nhiệm bảo hành đối với hư hỏng do sử dụng sai hướng dẫn, tự ý tháo lắp/sửa chữa, vận hành vượt thông số, thiên tai, hỏa hoạn, sự cố nguồn điện vượt thông số kỹ thuật, ngập nước, côn trùng, tác động bên thứ ba không được Bên B ủy quyền hoặc hao mòn tự nhiên.</w:t>
      </w:r>
    </w:p>
    <w:p>
      <w:pPr>
        <w:spacing w:after="40"/>
        <w:ind w:left="227" w:hanging="142"/>
      </w:pPr>
      <w:r>
        <w:rPr>
          <w:rFonts w:ascii="Times New Roman" w:hAnsi="Times New Roman" w:eastAsia="Times New Roman"/>
          <w:sz w:val="20"/>
        </w:rPr>
        <w:t>4. Vật tư, linh kiện, nhân công ngoài phạm vi bảo hành sẽ được báo giá và tính riêng.</w:t>
      </w:r>
    </w:p>
    <w:p>
      <w:pPr>
        <w:spacing w:before="20" w:after="80"/>
        <w:ind w:left="198"/>
      </w:pPr>
      <w:r>
        <w:rPr>
          <w:rFonts w:ascii="Times New Roman" w:hAnsi="Times New Roman" w:eastAsia="Times New Roman"/>
          <w:i/>
          <w:color w:val="464646"/>
          <w:sz w:val="17"/>
        </w:rPr>
        <w:t>Cơ sở pháp lý tham chiếu nội bộ: Luật Thương mại 2005 về bảo hành hàng hóa/cung ứng dịch vụ; Bộ luật Dân sự 2015 về trách nhiệm do vi phạm nghĩa vụ và miễn trách nhiệm khi không có lỗi/không thuộc phạm vi bảo hành.</w:t>
      </w:r>
    </w:p>
    <w:p>
      <w:pPr>
        <w:spacing w:after="40" w:line="252" w:lineRule="auto"/>
      </w:pPr>
      <w:r>
        <w:rPr>
          <w:rFonts w:ascii="Times New Roman" w:hAnsi="Times New Roman" w:eastAsia="Times New Roman"/>
          <w:b/>
          <w:i w:val="0"/>
          <w:sz w:val="21"/>
        </w:rPr>
        <w:t>Điều 6. Phạt vi phạm, bồi thường và giới hạn trách nhiệm</w:t>
      </w:r>
    </w:p>
    <w:p>
      <w:pPr>
        <w:spacing w:after="40"/>
        <w:ind w:left="227" w:hanging="142"/>
      </w:pPr>
      <w:r>
        <w:rPr>
          <w:rFonts w:ascii="Times New Roman" w:hAnsi="Times New Roman" w:eastAsia="Times New Roman"/>
          <w:sz w:val="20"/>
        </w:rPr>
        <w:t>1. Nếu giao dịch cụ thể không quy định mức phạt riêng, Bên A vi phạm nghĩa vụ thanh toán, giao nhận, bàn giao mặt bằng, phối hợp nghiệm thu, xác nhận phát sinh hoặc các nghĩa vụ khác thì chịu phạt vi phạm 8% giá trị phần nghĩa vụ bị vi phạm hoặc giá trị phần công việc bị ảnh hưởng trực tiếp.</w:t>
      </w:r>
    </w:p>
    <w:p>
      <w:pPr>
        <w:spacing w:after="40"/>
        <w:ind w:left="227" w:hanging="142"/>
      </w:pPr>
      <w:r>
        <w:rPr>
          <w:rFonts w:ascii="Times New Roman" w:hAnsi="Times New Roman" w:eastAsia="Times New Roman"/>
          <w:sz w:val="20"/>
        </w:rPr>
        <w:t>2. Nếu Bên B vi phạm nghĩa vụ cung cấp hàng hóa/dịch vụ/công việc do lỗi trực tiếp của Bên B thì chịu phạt vi phạm 5% giá trị phần nghĩa vụ bị vi phạm hoặc giá trị phần công việc bị ảnh hưởng trực tiếp.</w:t>
      </w:r>
    </w:p>
    <w:p>
      <w:pPr>
        <w:spacing w:after="40"/>
        <w:ind w:left="227" w:hanging="142"/>
      </w:pPr>
      <w:r>
        <w:rPr>
          <w:rFonts w:ascii="Times New Roman" w:hAnsi="Times New Roman" w:eastAsia="Times New Roman"/>
          <w:sz w:val="20"/>
        </w:rPr>
        <w:t>3. Các mức phạt trên được áp dụng trong phạm vi pháp luật cho phép; nếu pháp luật bắt buộc quy định mức tối đa thấp hơn, mức phạt được tự động điều chỉnh về mức tối đa được phép.</w:t>
      </w:r>
    </w:p>
    <w:p>
      <w:pPr>
        <w:spacing w:after="40"/>
        <w:ind w:left="227" w:hanging="142"/>
      </w:pPr>
      <w:r>
        <w:rPr>
          <w:rFonts w:ascii="Times New Roman" w:hAnsi="Times New Roman" w:eastAsia="Times New Roman"/>
          <w:sz w:val="20"/>
        </w:rPr>
        <w:t>4. Phạt vi phạm không loại trừ quyền yêu cầu bồi thường thiệt hại thực tế, trực tiếp, hợp lý. Bên yêu cầu bồi thường có nghĩa vụ chứng minh thiệt hại và quan hệ nhân quả.</w:t>
      </w:r>
    </w:p>
    <w:p>
      <w:pPr>
        <w:spacing w:after="40"/>
        <w:ind w:left="227" w:hanging="142"/>
      </w:pPr>
      <w:r>
        <w:rPr>
          <w:rFonts w:ascii="Times New Roman" w:hAnsi="Times New Roman" w:eastAsia="Times New Roman"/>
          <w:sz w:val="20"/>
        </w:rPr>
        <w:t>5. Không bên nào chịu trách nhiệm đối với thiệt hại gián tiếp, mất lợi nhuận kỳ vọng hoặc thiệt hại không thể dự liệu hợp lý, trừ trường hợp pháp luật bắt buộc hoặc các bên có thỏa thuận khác.</w:t>
      </w:r>
    </w:p>
    <w:p>
      <w:pPr>
        <w:spacing w:before="20" w:after="80"/>
        <w:ind w:left="198"/>
      </w:pPr>
      <w:r>
        <w:rPr>
          <w:rFonts w:ascii="Times New Roman" w:hAnsi="Times New Roman" w:eastAsia="Times New Roman"/>
          <w:i/>
          <w:color w:val="464646"/>
          <w:sz w:val="17"/>
        </w:rPr>
        <w:t>Cơ sở pháp lý tham chiếu nội bộ: Luật Thương mại 2005: Điều 300, 301, 302, 303, 307; Bộ luật Dân sự 2015: Điều 360, 361, 418, 419.</w:t>
      </w:r>
    </w:p>
    <w:p>
      <w:pPr>
        <w:spacing w:after="40" w:line="252" w:lineRule="auto"/>
      </w:pPr>
      <w:r>
        <w:rPr>
          <w:rFonts w:ascii="Times New Roman" w:hAnsi="Times New Roman" w:eastAsia="Times New Roman"/>
          <w:b/>
          <w:i w:val="0"/>
          <w:sz w:val="21"/>
        </w:rPr>
        <w:t>Điều 7. Bảo mật thông tin và dữ liệu hồ sơ</w:t>
      </w:r>
    </w:p>
    <w:p>
      <w:pPr>
        <w:spacing w:after="40"/>
        <w:ind w:left="227" w:hanging="142"/>
      </w:pPr>
      <w:r>
        <w:rPr>
          <w:rFonts w:ascii="Times New Roman" w:hAnsi="Times New Roman" w:eastAsia="Times New Roman"/>
          <w:sz w:val="20"/>
        </w:rPr>
        <w:t>1. Mọi thông tin về giá, bản vẽ, quy trình kỹ thuật, danh sách khách hàng, hồ sơ công trình, hình ảnh hiện trường, tài liệu nội bộ và thông tin kinh doanh của mỗi bên được xem là thông tin bảo mật, trừ khi đã công khai hợp pháp.</w:t>
      </w:r>
    </w:p>
    <w:p>
      <w:pPr>
        <w:spacing w:after="40"/>
        <w:ind w:left="227" w:hanging="142"/>
      </w:pPr>
      <w:r>
        <w:rPr>
          <w:rFonts w:ascii="Times New Roman" w:hAnsi="Times New Roman" w:eastAsia="Times New Roman"/>
          <w:sz w:val="20"/>
        </w:rPr>
        <w:t>2. Các bên không được tiết lộ thông tin bảo mật cho bên thứ ba nếu không có sự đồng ý bằng văn bản của bên còn lại, trừ trường hợp cung cấp cho cơ quan nhà nước có thẩm quyền hoặc đơn vị tư vấn/hỗ trợ có nghĩa vụ bảo mật tương đương.</w:t>
      </w:r>
    </w:p>
    <w:p>
      <w:pPr>
        <w:spacing w:after="40"/>
        <w:ind w:left="227" w:hanging="142"/>
      </w:pPr>
      <w:r>
        <w:rPr>
          <w:rFonts w:ascii="Times New Roman" w:hAnsi="Times New Roman" w:eastAsia="Times New Roman"/>
          <w:sz w:val="20"/>
        </w:rPr>
        <w:t>3. Nghĩa vụ bảo mật tiếp tục có hiệu lực trong vòng 24 tháng sau khi Hợp đồng chấm dứt. Bên vi phạm phải chấm dứt hành vi vi phạm, thu hồi thông tin đã tiết lộ trong phạm vi có thể, bồi thường thiệt hại thực tế và chịu phạt vi phạm 8% giá trị giao dịch/hợp đồng liên quan trong phạm vi pháp luật cho phép.</w:t>
      </w:r>
    </w:p>
    <w:p>
      <w:pPr>
        <w:spacing w:after="40"/>
        <w:ind w:left="227" w:hanging="142"/>
      </w:pPr>
      <w:r>
        <w:rPr>
          <w:rFonts w:ascii="Times New Roman" w:hAnsi="Times New Roman" w:eastAsia="Times New Roman"/>
          <w:sz w:val="20"/>
        </w:rPr>
        <w:t>4. Bên bị vi phạm có quyền yêu cầu Tòa án hoặc cơ quan có thẩm quyền áp dụng biện pháp khẩn cấp tạm thời hoặc biện pháp cần thiết khác để ngăn chặn/chấm dứt hành vi vi phạm bảo mật.</w:t>
      </w:r>
    </w:p>
    <w:p>
      <w:pPr>
        <w:spacing w:before="20" w:after="80"/>
        <w:ind w:left="198"/>
      </w:pPr>
      <w:r>
        <w:rPr>
          <w:rFonts w:ascii="Times New Roman" w:hAnsi="Times New Roman" w:eastAsia="Times New Roman"/>
          <w:i/>
          <w:color w:val="464646"/>
          <w:sz w:val="17"/>
        </w:rPr>
        <w:t>Cơ sở pháp lý tham chiếu nội bộ: Bộ luật Dân sự 2015 về nguyên tắc thiện chí, trung thực, trách nhiệm bồi thường; Bộ luật Tố tụng dân sự 2015 về chứng cứ và biện pháp khẩn cấp tạm thời; các quy định bảo vệ dữ liệu/thông tin hiện hành.</w:t>
      </w:r>
    </w:p>
    <w:p>
      <w:pPr>
        <w:spacing w:after="40" w:line="252" w:lineRule="auto"/>
      </w:pPr>
      <w:r>
        <w:rPr>
          <w:rFonts w:ascii="Times New Roman" w:hAnsi="Times New Roman" w:eastAsia="Times New Roman"/>
          <w:b/>
          <w:i w:val="0"/>
          <w:sz w:val="21"/>
        </w:rPr>
        <w:t>Điều 8. Trao đổi điện tử, thông báo và lưu trữ hồ sơ</w:t>
      </w:r>
    </w:p>
    <w:p>
      <w:pPr>
        <w:spacing w:after="40"/>
        <w:ind w:left="227" w:hanging="142"/>
      </w:pPr>
      <w:r>
        <w:rPr>
          <w:rFonts w:ascii="Times New Roman" w:hAnsi="Times New Roman" w:eastAsia="Times New Roman"/>
          <w:sz w:val="20"/>
        </w:rPr>
        <w:t>1. Thông báo, xác nhận, yêu cầu phát sinh, chấp thuận báo giá, xác nhận lịch thi công hoặc trao đổi nghiệp vụ qua email, tin nhắn, hệ thống quản lý công việc hoặc văn bản điện tử được xem là căn cứ tham chiếu nếu xác định được người gửi, thời điểm gửi và nội dung trao đổi.</w:t>
      </w:r>
    </w:p>
    <w:p>
      <w:pPr>
        <w:spacing w:after="40"/>
        <w:ind w:left="227" w:hanging="142"/>
      </w:pPr>
      <w:r>
        <w:rPr>
          <w:rFonts w:ascii="Times New Roman" w:hAnsi="Times New Roman" w:eastAsia="Times New Roman"/>
          <w:sz w:val="20"/>
        </w:rPr>
        <w:t>2. Mỗi bên có trách nhiệm lưu trữ toàn bộ trao đổi điện tử liên quan trong suốt thời hạn hợp đồng và ít nhất 03 năm sau khi hợp đồng/giao dịch chấm dứt; không xóa, chỉnh sửa nội dung đã gửi/nhận.</w:t>
      </w:r>
    </w:p>
    <w:p>
      <w:pPr>
        <w:spacing w:after="40"/>
        <w:ind w:left="227" w:hanging="142"/>
      </w:pPr>
      <w:r>
        <w:rPr>
          <w:rFonts w:ascii="Times New Roman" w:hAnsi="Times New Roman" w:eastAsia="Times New Roman"/>
          <w:sz w:val="20"/>
        </w:rPr>
        <w:t>3. Khi cần thiết, các bên có thể xuất log hệ thống, ảnh chụp màn hình có metadata, thời gian, tài khoản, địa chỉ email/số điện thoại và dữ liệu liên quan để xác thực trao đổi điện tử.</w:t>
      </w:r>
    </w:p>
    <w:p>
      <w:pPr>
        <w:spacing w:after="40"/>
        <w:ind w:left="227" w:hanging="142"/>
      </w:pPr>
      <w:r>
        <w:rPr>
          <w:rFonts w:ascii="Times New Roman" w:hAnsi="Times New Roman" w:eastAsia="Times New Roman"/>
          <w:sz w:val="20"/>
        </w:rPr>
        <w:t>4. Trao đổi điện tử được coi là đã nhận khi đến địa chỉ email/tài khoản của bên nhận và không có thông báo lỗi gửi lại trong vòng 24 giờ.</w:t>
      </w:r>
    </w:p>
    <w:p>
      <w:pPr>
        <w:spacing w:before="20" w:after="80"/>
        <w:ind w:left="198"/>
      </w:pPr>
      <w:r>
        <w:rPr>
          <w:rFonts w:ascii="Times New Roman" w:hAnsi="Times New Roman" w:eastAsia="Times New Roman"/>
          <w:i/>
          <w:color w:val="464646"/>
          <w:sz w:val="17"/>
        </w:rPr>
        <w:t>Cơ sở pháp lý tham chiếu nội bộ: Luật Giao dịch điện tử 2023: Điều 8, 11, 23; Bộ luật Tố tụng dân sự 2015: Điều 93 về chứng cứ và nguồn chứng cứ.</w:t>
      </w:r>
    </w:p>
    <w:p>
      <w:pPr>
        <w:spacing w:after="40" w:line="252" w:lineRule="auto"/>
      </w:pPr>
      <w:r>
        <w:rPr>
          <w:rFonts w:ascii="Times New Roman" w:hAnsi="Times New Roman" w:eastAsia="Times New Roman"/>
          <w:b/>
          <w:i w:val="0"/>
          <w:sz w:val="21"/>
        </w:rPr>
        <w:t>Điều 9. An toàn, thuế, chống hối lộ, bất khả kháng và chấm dứt</w:t>
      </w:r>
    </w:p>
    <w:p>
      <w:pPr>
        <w:spacing w:after="40"/>
        <w:ind w:left="227" w:hanging="142"/>
      </w:pPr>
      <w:r>
        <w:rPr>
          <w:rFonts w:ascii="Times New Roman" w:hAnsi="Times New Roman" w:eastAsia="Times New Roman"/>
          <w:sz w:val="20"/>
        </w:rPr>
        <w:t>1. Các bên phối hợp bảo đảm an toàn lao động, an toàn điện, phòng cháy chữa cháy, vệ sinh công nghiệp và bảo vệ tài sản tại khu vực thực hiện.</w:t>
      </w:r>
    </w:p>
    <w:p>
      <w:pPr>
        <w:spacing w:after="40"/>
        <w:ind w:left="227" w:hanging="142"/>
      </w:pPr>
      <w:r>
        <w:rPr>
          <w:rFonts w:ascii="Times New Roman" w:hAnsi="Times New Roman" w:eastAsia="Times New Roman"/>
          <w:sz w:val="20"/>
        </w:rPr>
        <w:t>2. Thuế VAT, hóa đơn, chứng từ điện tử và nghĩa vụ tài chính thực hiện theo quy định pháp luật hiện hành; Bên A chịu trách nhiệm cung cấp thông tin xuất hóa đơn chính xác và chịu chi phí điều chỉnh nếu thông tin sai do Bên A cung cấp.</w:t>
      </w:r>
    </w:p>
    <w:p>
      <w:pPr>
        <w:spacing w:after="40"/>
        <w:ind w:left="227" w:hanging="142"/>
      </w:pPr>
      <w:r>
        <w:rPr>
          <w:rFonts w:ascii="Times New Roman" w:hAnsi="Times New Roman" w:eastAsia="Times New Roman"/>
          <w:sz w:val="20"/>
        </w:rPr>
        <w:t>3. Hai bên cam kết không thực hiện hành vi hối lộ, thông đồng, gian lận, cạnh tranh không lành mạnh hoặc lợi dụng hợp đồng để thực hiện giao dịch trái pháp luật.</w:t>
      </w:r>
    </w:p>
    <w:p>
      <w:pPr>
        <w:spacing w:after="40"/>
        <w:ind w:left="227" w:hanging="142"/>
      </w:pPr>
      <w:r>
        <w:rPr>
          <w:rFonts w:ascii="Times New Roman" w:hAnsi="Times New Roman" w:eastAsia="Times New Roman"/>
          <w:sz w:val="20"/>
        </w:rPr>
        <w:t>4. Sự kiện bất khả kháng được xử lý theo quy định pháp luật và thỏa thuận; bên bị ảnh hưởng phải thông báo, cung cấp chứng cứ hợp lý và giảm thiểu thiệt hại.</w:t>
      </w:r>
    </w:p>
    <w:p>
      <w:pPr>
        <w:spacing w:after="40"/>
        <w:ind w:left="227" w:hanging="142"/>
      </w:pPr>
      <w:r>
        <w:rPr>
          <w:rFonts w:ascii="Times New Roman" w:hAnsi="Times New Roman" w:eastAsia="Times New Roman"/>
          <w:sz w:val="20"/>
        </w:rPr>
        <w:t>5. Hợp đồng nguyên tắc chấm dứt khi hết thời hạn, hai bên thỏa thuận, một bên vi phạm nghiêm trọng và không khắc phục trong vòng 15 ngày làm việc kể từ khi nhận thông báo, hoặc theo quy định pháp luật. Chấm dứt không làm mất nghĩa vụ thanh toán, bảo mật, bảo hành, bồi thường, phạt vi phạm và giao dịch đã phát sinh.</w:t>
      </w:r>
    </w:p>
    <w:p>
      <w:pPr>
        <w:spacing w:before="20" w:after="80"/>
        <w:ind w:left="198"/>
      </w:pPr>
      <w:r>
        <w:rPr>
          <w:rFonts w:ascii="Times New Roman" w:hAnsi="Times New Roman" w:eastAsia="Times New Roman"/>
          <w:i/>
          <w:color w:val="464646"/>
          <w:sz w:val="17"/>
        </w:rPr>
        <w:t>Cơ sở pháp lý tham chiếu nội bộ: Luật Thương mại 2005 và Bộ luật Dân sự 2015 về vi phạm cơ bản/chấm dứt; quy định hiện hành về thuế, hóa đơn, an toàn lao động, PCCC và phòng chống hành vi bất hợp pháp.</w:t>
      </w:r>
    </w:p>
    <w:p>
      <w:pPr>
        <w:spacing w:after="40" w:line="252" w:lineRule="auto"/>
      </w:pPr>
      <w:r>
        <w:rPr>
          <w:rFonts w:ascii="Times New Roman" w:hAnsi="Times New Roman" w:eastAsia="Times New Roman"/>
          <w:b/>
          <w:i w:val="0"/>
          <w:sz w:val="21"/>
        </w:rPr>
        <w:t>Điều 10. Giải quyết tranh chấp và hiệu lực</w:t>
      </w:r>
    </w:p>
    <w:p>
      <w:pPr>
        <w:spacing w:after="40"/>
        <w:ind w:left="227" w:hanging="142"/>
      </w:pPr>
      <w:r>
        <w:rPr>
          <w:rFonts w:ascii="Times New Roman" w:hAnsi="Times New Roman" w:eastAsia="Times New Roman"/>
          <w:sz w:val="20"/>
        </w:rPr>
        <w:t>1. Tranh chấp trước hết được giải quyết bằng thương lượng, hòa giải trên tinh thần hợp tác.</w:t>
      </w:r>
    </w:p>
    <w:p>
      <w:pPr>
        <w:spacing w:after="40"/>
        <w:ind w:left="227" w:hanging="142"/>
      </w:pPr>
      <w:r>
        <w:rPr>
          <w:rFonts w:ascii="Times New Roman" w:hAnsi="Times New Roman" w:eastAsia="Times New Roman"/>
          <w:sz w:val="20"/>
        </w:rPr>
        <w:t>2. Nếu không giải quyết được trong vòng 30 ngày kể từ ngày một bên gửi thông báo tranh chấp, tranh chấp được đưa ra Tòa án có thẩm quyền theo quy định pháp luật, trừ khi hai bên có thỏa thuận khác bằng văn bản.</w:t>
      </w:r>
    </w:p>
    <w:p>
      <w:pPr>
        <w:spacing w:after="40"/>
        <w:ind w:left="227" w:hanging="142"/>
      </w:pPr>
      <w:r>
        <w:rPr>
          <w:rFonts w:ascii="Times New Roman" w:hAnsi="Times New Roman" w:eastAsia="Times New Roman"/>
          <w:sz w:val="20"/>
        </w:rPr>
        <w:t>3. Hợp đồng có hiệu lực từ ngày ký đến ngày {{ngay_het_hieu_luc}} hoặc đến khi hai bên ký văn bản thay thế/chấm dứt.</w:t>
      </w:r>
    </w:p>
    <w:p>
      <w:pPr>
        <w:spacing w:after="40"/>
        <w:ind w:left="227" w:hanging="142"/>
      </w:pPr>
      <w:r>
        <w:rPr>
          <w:rFonts w:ascii="Times New Roman" w:hAnsi="Times New Roman" w:eastAsia="Times New Roman"/>
          <w:sz w:val="20"/>
        </w:rPr>
        <w:t>4. Hợp đồng được lập thành 02 bản, mỗi bên giữ 01 bản có giá trị pháp lý như nhau. Các bên xác nhận đã đọc, hiểu rõ quyền và nghĩa vụ, có đủ thẩm quyền ký kết và tự nguyện ràng buộc bởi Hợp đồng.</w:t>
      </w:r>
    </w:p>
    <w:p>
      <w:pPr>
        <w:spacing w:before="20" w:after="80"/>
        <w:ind w:left="198"/>
      </w:pPr>
      <w:r>
        <w:rPr>
          <w:rFonts w:ascii="Times New Roman" w:hAnsi="Times New Roman" w:eastAsia="Times New Roman"/>
          <w:i/>
          <w:color w:val="464646"/>
          <w:sz w:val="17"/>
        </w:rPr>
        <w:t>Cơ sở pháp lý tham chiếu nội bộ: Bộ luật Tố tụng dân sự 2015 về thẩm quyền và chứng cứ; Bộ luật Dân sự 2015 về hiệu lực hợp đồng và quyền tự do thỏa thuận.</w:t>
      </w:r>
    </w:p>
    <w:tbl>
      <w:tblPr>
        <w:tblStyle w:val="TableGrid"/>
        <w:tblW w:type="auto" w:w="0"/>
        <w:jc w:val="center"/>
        <w:tblLook w:firstColumn="1" w:firstRow="1" w:lastColumn="0" w:lastRow="0" w:noHBand="0" w:noVBand="1" w:val="04A0"/>
      </w:tblPr>
      <w:tblGrid>
        <w:gridCol w:w="5270"/>
        <w:gridCol w:w="5270"/>
      </w:tblGrid>
      <w:tr>
        <w:tc>
          <w:tcPr>
            <w:tcW w:type="dxa" w:w="5270"/>
            <w:vAlign w:val="center"/>
          </w:tcPr>
          <w:p>
            <w:pPr>
              <w:jc w:val="center"/>
            </w:pPr>
            <w:r/>
            <w:r>
              <w:rPr>
                <w:rFonts w:ascii="Times New Roman" w:hAnsi="Times New Roman" w:eastAsia="Times New Roman"/>
                <w:b/>
                <w:sz w:val="20"/>
              </w:rPr>
              <w:t>ĐẠI DIỆN BÊN A</w:t>
              <w:br/>
              <w:t>(Ký, ghi rõ họ tên, chức vụ, đóng dấu)</w:t>
            </w:r>
          </w:p>
        </w:tc>
        <w:tc>
          <w:tcPr>
            <w:tcW w:type="dxa" w:w="5270"/>
            <w:vAlign w:val="center"/>
          </w:tcPr>
          <w:p>
            <w:pPr>
              <w:jc w:val="center"/>
            </w:pPr>
            <w:r/>
            <w:r>
              <w:rPr>
                <w:rFonts w:ascii="Times New Roman" w:hAnsi="Times New Roman" w:eastAsia="Times New Roman"/>
                <w:b/>
                <w:sz w:val="20"/>
              </w:rPr>
              <w:t>ĐẠI DIỆN BÊN B</w:t>
              <w:br/>
              <w:t>(Ký, ghi rõ họ tên, chức vụ, đóng dấu)</w:t>
            </w:r>
          </w:p>
        </w:tc>
      </w:tr>
      <w:tr>
        <w:tc>
          <w:tcPr>
            <w:tcW w:type="dxa" w:w="5270"/>
            <w:vAlign w:val="center"/>
          </w:tcPr>
          <w:p>
            <w:pPr>
              <w:jc w:val="center"/>
            </w:pPr>
            <w:r/>
            <w:r>
              <w:rPr>
                <w:rFonts w:ascii="Times New Roman" w:hAnsi="Times New Roman" w:eastAsia="Times New Roman"/>
                <w:b w:val="0"/>
                <w:sz w:val="20"/>
              </w:rPr>
              <w:br/>
              <w:br/>
              <w:br/>
              <w:br/>
              <w:t>{{ben_a_nguoi_ky}}</w:t>
            </w:r>
          </w:p>
        </w:tc>
        <w:tc>
          <w:tcPr>
            <w:tcW w:type="dxa" w:w="5270"/>
            <w:vAlign w:val="center"/>
          </w:tcPr>
          <w:p>
            <w:pPr>
              <w:jc w:val="center"/>
            </w:pPr>
            <w:r/>
            <w:r>
              <w:rPr>
                <w:rFonts w:ascii="Times New Roman" w:hAnsi="Times New Roman" w:eastAsia="Times New Roman"/>
                <w:b w:val="0"/>
                <w:sz w:val="20"/>
              </w:rPr>
              <w:br/>
              <w:br/>
              <w:br/>
              <w:br/>
              <w:t>{{ben_b_nguoi_ky}}</w:t>
            </w:r>
          </w:p>
        </w:tc>
      </w:tr>
    </w:tbl>
    <w:p>
      <w:r>
        <w:br w:type="page"/>
      </w:r>
    </w:p>
    <w:p>
      <w:pPr>
        <w:spacing w:after="40" w:line="252" w:lineRule="auto"/>
        <w:jc w:val="center"/>
      </w:pPr>
      <w:r>
        <w:rPr>
          <w:rFonts w:ascii="Times New Roman" w:hAnsi="Times New Roman" w:eastAsia="Times New Roman"/>
          <w:b/>
          <w:i w:val="0"/>
          <w:sz w:val="24"/>
        </w:rPr>
        <w:t>Phụ lục - Bảng căn cứ pháp lý tham chiếu nội bộ</w:t>
      </w:r>
    </w:p>
    <w:p>
      <w:pPr>
        <w:spacing w:after="40" w:line="252" w:lineRule="auto"/>
      </w:pPr>
      <w:r>
        <w:rPr>
          <w:rFonts w:ascii="Times New Roman" w:hAnsi="Times New Roman" w:eastAsia="Times New Roman"/>
          <w:b w:val="0"/>
          <w:i/>
          <w:sz w:val="18"/>
        </w:rPr>
        <w:t>Bảng này dùng để LEXcentra/kế toán/luật sư rà soát nội bộ. Khi ký hợp đồng thực tế, cần kiểm tra phiên bản pháp luật còn hiệu lực và điều chỉnh theo từng giao dịch.</w:t>
      </w:r>
    </w:p>
    <w:tbl>
      <w:tblPr>
        <w:tblStyle w:val="TableGrid"/>
        <w:tblW w:type="auto" w:w="0"/>
        <w:jc w:val="center"/>
        <w:tblLook w:firstColumn="1" w:firstRow="1" w:lastColumn="0" w:lastRow="0" w:noHBand="0" w:noVBand="1" w:val="04A0"/>
      </w:tblPr>
      <w:tblGrid>
        <w:gridCol w:w="3513"/>
        <w:gridCol w:w="3513"/>
        <w:gridCol w:w="3513"/>
      </w:tblGrid>
      <w:tr>
        <w:trPr>
          <w:tblHeader w:val="true"/>
        </w:trPr>
        <w:tc>
          <w:tcPr>
            <w:tcW w:type="dxa" w:w="3513"/>
            <w:vAlign w:val="center"/>
            <w:shd w:fill="D9EAF7"/>
          </w:tcPr>
          <w:p>
            <w:pPr>
              <w:jc w:val="center"/>
            </w:pPr>
            <w:r/>
            <w:r>
              <w:rPr>
                <w:rFonts w:ascii="Times New Roman" w:hAnsi="Times New Roman" w:eastAsia="Times New Roman"/>
                <w:b/>
                <w:sz w:val="17"/>
              </w:rPr>
              <w:t>Nhóm điều khoản</w:t>
            </w:r>
          </w:p>
        </w:tc>
        <w:tc>
          <w:tcPr>
            <w:tcW w:type="dxa" w:w="3513"/>
            <w:vAlign w:val="center"/>
            <w:shd w:fill="D9EAF7"/>
          </w:tcPr>
          <w:p>
            <w:pPr>
              <w:jc w:val="center"/>
            </w:pPr>
            <w:r/>
            <w:r>
              <w:rPr>
                <w:rFonts w:ascii="Times New Roman" w:hAnsi="Times New Roman" w:eastAsia="Times New Roman"/>
                <w:b/>
                <w:sz w:val="17"/>
              </w:rPr>
              <w:t>Căn cứ pháp lý tham chiếu</w:t>
            </w:r>
          </w:p>
        </w:tc>
        <w:tc>
          <w:tcPr>
            <w:tcW w:type="dxa" w:w="3513"/>
            <w:vAlign w:val="center"/>
            <w:shd w:fill="D9EAF7"/>
          </w:tcPr>
          <w:p>
            <w:pPr>
              <w:jc w:val="center"/>
            </w:pPr>
            <w:r/>
            <w:r>
              <w:rPr>
                <w:rFonts w:ascii="Times New Roman" w:hAnsi="Times New Roman" w:eastAsia="Times New Roman"/>
                <w:b/>
                <w:sz w:val="17"/>
              </w:rPr>
              <w:t>Mục đích kiểm soát</w:t>
            </w:r>
          </w:p>
        </w:tc>
      </w:tr>
      <w:tr>
        <w:tc>
          <w:tcPr>
            <w:tcW w:type="dxa" w:w="3513"/>
            <w:vAlign w:val="center"/>
          </w:tcPr>
          <w:p>
            <w:pPr>
              <w:jc w:val="left"/>
            </w:pPr>
            <w:r/>
            <w:r>
              <w:rPr>
                <w:rFonts w:ascii="Times New Roman" w:hAnsi="Times New Roman" w:eastAsia="Times New Roman"/>
                <w:b w:val="0"/>
                <w:sz w:val="15"/>
              </w:rPr>
              <w:t>Giao kết, hiệu lực và giải thích hợp đồng</w:t>
            </w:r>
          </w:p>
        </w:tc>
        <w:tc>
          <w:tcPr>
            <w:tcW w:type="dxa" w:w="3513"/>
            <w:vAlign w:val="center"/>
          </w:tcPr>
          <w:p>
            <w:pPr>
              <w:jc w:val="left"/>
            </w:pPr>
            <w:r/>
            <w:r>
              <w:rPr>
                <w:rFonts w:ascii="Times New Roman" w:hAnsi="Times New Roman" w:eastAsia="Times New Roman"/>
                <w:b w:val="0"/>
                <w:sz w:val="15"/>
              </w:rPr>
              <w:t>Bộ luật Dân sự 2015: Điều 385, 398, 400, 401, 403, 404, 405, 406; Luật Thương mại 2005 về giao kết/thực hiện hợp đồng thương mại.</w:t>
            </w:r>
          </w:p>
        </w:tc>
        <w:tc>
          <w:tcPr>
            <w:tcW w:type="dxa" w:w="3513"/>
            <w:vAlign w:val="center"/>
          </w:tcPr>
          <w:p>
            <w:pPr>
              <w:jc w:val="left"/>
            </w:pPr>
            <w:r/>
            <w:r>
              <w:rPr>
                <w:rFonts w:ascii="Times New Roman" w:hAnsi="Times New Roman" w:eastAsia="Times New Roman"/>
                <w:b w:val="0"/>
                <w:sz w:val="15"/>
              </w:rPr>
              <w:t>Xác định tài liệu có hiệu lực, thứ tự ưu tiên và nguyên tắc giải thích.</w:t>
            </w:r>
          </w:p>
        </w:tc>
      </w:tr>
      <w:tr>
        <w:tc>
          <w:tcPr>
            <w:tcW w:type="dxa" w:w="3513"/>
            <w:vAlign w:val="center"/>
          </w:tcPr>
          <w:p>
            <w:pPr>
              <w:jc w:val="left"/>
            </w:pPr>
            <w:r/>
            <w:r>
              <w:rPr>
                <w:rFonts w:ascii="Times New Roman" w:hAnsi="Times New Roman" w:eastAsia="Times New Roman"/>
                <w:b w:val="0"/>
                <w:sz w:val="15"/>
              </w:rPr>
              <w:t>Phạt vi phạm</w:t>
            </w:r>
          </w:p>
        </w:tc>
        <w:tc>
          <w:tcPr>
            <w:tcW w:type="dxa" w:w="3513"/>
            <w:vAlign w:val="center"/>
          </w:tcPr>
          <w:p>
            <w:pPr>
              <w:jc w:val="left"/>
            </w:pPr>
            <w:r/>
            <w:r>
              <w:rPr>
                <w:rFonts w:ascii="Times New Roman" w:hAnsi="Times New Roman" w:eastAsia="Times New Roman"/>
                <w:b w:val="0"/>
                <w:sz w:val="15"/>
              </w:rPr>
              <w:t>Luật Thương mại 2005: Điều 300, 301; Bộ luật Dân sự 2015: Điều 418. Ghi rõ mức phạt trong hợp đồng để tránh tranh chấp về căn cứ áp dụng.</w:t>
            </w:r>
          </w:p>
        </w:tc>
        <w:tc>
          <w:tcPr>
            <w:tcW w:type="dxa" w:w="3513"/>
            <w:vAlign w:val="center"/>
          </w:tcPr>
          <w:p>
            <w:pPr>
              <w:jc w:val="left"/>
            </w:pPr>
            <w:r/>
            <w:r>
              <w:rPr>
                <w:rFonts w:ascii="Times New Roman" w:hAnsi="Times New Roman" w:eastAsia="Times New Roman"/>
                <w:b w:val="0"/>
                <w:sz w:val="15"/>
              </w:rPr>
              <w:t>Bảo đảm điều khoản phạt có mức phạt rõ ràng, tránh mất quyền yêu cầu phạt.</w:t>
            </w:r>
          </w:p>
        </w:tc>
      </w:tr>
      <w:tr>
        <w:tc>
          <w:tcPr>
            <w:tcW w:type="dxa" w:w="3513"/>
            <w:vAlign w:val="center"/>
          </w:tcPr>
          <w:p>
            <w:pPr>
              <w:jc w:val="left"/>
            </w:pPr>
            <w:r/>
            <w:r>
              <w:rPr>
                <w:rFonts w:ascii="Times New Roman" w:hAnsi="Times New Roman" w:eastAsia="Times New Roman"/>
                <w:b w:val="0"/>
                <w:sz w:val="15"/>
              </w:rPr>
              <w:t>Bồi thường thiệt hại</w:t>
            </w:r>
          </w:p>
        </w:tc>
        <w:tc>
          <w:tcPr>
            <w:tcW w:type="dxa" w:w="3513"/>
            <w:vAlign w:val="center"/>
          </w:tcPr>
          <w:p>
            <w:pPr>
              <w:jc w:val="left"/>
            </w:pPr>
            <w:r/>
            <w:r>
              <w:rPr>
                <w:rFonts w:ascii="Times New Roman" w:hAnsi="Times New Roman" w:eastAsia="Times New Roman"/>
                <w:b w:val="0"/>
                <w:sz w:val="15"/>
              </w:rPr>
              <w:t>Luật Thương mại 2005: Điều 302, 303, 304, 305, 307; Bộ luật Dân sự 2015: Điều 13, 360, 361, 419. Bên yêu cầu bồi thường phải chứng minh thiệt hại và quan hệ nhân quả.</w:t>
            </w:r>
          </w:p>
        </w:tc>
        <w:tc>
          <w:tcPr>
            <w:tcW w:type="dxa" w:w="3513"/>
            <w:vAlign w:val="center"/>
          </w:tcPr>
          <w:p>
            <w:pPr>
              <w:jc w:val="left"/>
            </w:pPr>
            <w:r/>
            <w:r>
              <w:rPr>
                <w:rFonts w:ascii="Times New Roman" w:hAnsi="Times New Roman" w:eastAsia="Times New Roman"/>
                <w:b w:val="0"/>
                <w:sz w:val="15"/>
              </w:rPr>
              <w:t>Giữ quyền yêu cầu bồi thường thiệt hại thực tế, trực tiếp, hợp lý.</w:t>
            </w:r>
          </w:p>
        </w:tc>
      </w:tr>
      <w:tr>
        <w:tc>
          <w:tcPr>
            <w:tcW w:type="dxa" w:w="3513"/>
            <w:vAlign w:val="center"/>
          </w:tcPr>
          <w:p>
            <w:pPr>
              <w:jc w:val="left"/>
            </w:pPr>
            <w:r/>
            <w:r>
              <w:rPr>
                <w:rFonts w:ascii="Times New Roman" w:hAnsi="Times New Roman" w:eastAsia="Times New Roman"/>
                <w:b w:val="0"/>
                <w:sz w:val="15"/>
              </w:rPr>
              <w:t>Lãi chậm thanh toán</w:t>
            </w:r>
          </w:p>
        </w:tc>
        <w:tc>
          <w:tcPr>
            <w:tcW w:type="dxa" w:w="3513"/>
            <w:vAlign w:val="center"/>
          </w:tcPr>
          <w:p>
            <w:pPr>
              <w:jc w:val="left"/>
            </w:pPr>
            <w:r/>
            <w:r>
              <w:rPr>
                <w:rFonts w:ascii="Times New Roman" w:hAnsi="Times New Roman" w:eastAsia="Times New Roman"/>
                <w:b w:val="0"/>
                <w:sz w:val="15"/>
              </w:rPr>
              <w:t>Luật Thương mại 2005: Điều 306; Bộ luật Dân sự 2015: Điều 357, 468; Nghị quyết 01/2019/NQ-HĐTP: Điều 11. Nên ghi rõ mức lãi hoặc công thức xác định.</w:t>
            </w:r>
          </w:p>
        </w:tc>
        <w:tc>
          <w:tcPr>
            <w:tcW w:type="dxa" w:w="3513"/>
            <w:vAlign w:val="center"/>
          </w:tcPr>
          <w:p>
            <w:pPr>
              <w:jc w:val="left"/>
            </w:pPr>
            <w:r/>
            <w:r>
              <w:rPr>
                <w:rFonts w:ascii="Times New Roman" w:hAnsi="Times New Roman" w:eastAsia="Times New Roman"/>
                <w:b w:val="0"/>
                <w:sz w:val="15"/>
              </w:rPr>
              <w:t>Giúp Bên B có căn cứ đòi lãi cụ thể khi Bên A chậm thanh toán.</w:t>
            </w:r>
          </w:p>
        </w:tc>
      </w:tr>
      <w:tr>
        <w:tc>
          <w:tcPr>
            <w:tcW w:type="dxa" w:w="3513"/>
            <w:vAlign w:val="center"/>
          </w:tcPr>
          <w:p>
            <w:pPr>
              <w:jc w:val="left"/>
            </w:pPr>
            <w:r/>
            <w:r>
              <w:rPr>
                <w:rFonts w:ascii="Times New Roman" w:hAnsi="Times New Roman" w:eastAsia="Times New Roman"/>
                <w:b w:val="0"/>
                <w:sz w:val="15"/>
              </w:rPr>
              <w:t>Tạm ngừng/đình chỉ/chấm dứt</w:t>
            </w:r>
          </w:p>
        </w:tc>
        <w:tc>
          <w:tcPr>
            <w:tcW w:type="dxa" w:w="3513"/>
            <w:vAlign w:val="center"/>
          </w:tcPr>
          <w:p>
            <w:pPr>
              <w:jc w:val="left"/>
            </w:pPr>
            <w:r/>
            <w:r>
              <w:rPr>
                <w:rFonts w:ascii="Times New Roman" w:hAnsi="Times New Roman" w:eastAsia="Times New Roman"/>
                <w:b w:val="0"/>
                <w:sz w:val="15"/>
              </w:rPr>
              <w:t>Luật Thương mại 2005: Điều 308, 309, 310, 311, 312; Bộ luật Dân sự 2015: Điều 411, 423, 424, 428. Cần có điều kiện kích hoạt, thông báo và thời hạn khắc phục.</w:t>
            </w:r>
          </w:p>
        </w:tc>
        <w:tc>
          <w:tcPr>
            <w:tcW w:type="dxa" w:w="3513"/>
            <w:vAlign w:val="center"/>
          </w:tcPr>
          <w:p>
            <w:pPr>
              <w:jc w:val="left"/>
            </w:pPr>
            <w:r/>
            <w:r>
              <w:rPr>
                <w:rFonts w:ascii="Times New Roman" w:hAnsi="Times New Roman" w:eastAsia="Times New Roman"/>
                <w:b w:val="0"/>
                <w:sz w:val="15"/>
              </w:rPr>
              <w:t>Tránh rủi ro Bên B bị xem là vi phạm khi tạm ngừng đúng điều kiện.</w:t>
            </w:r>
          </w:p>
        </w:tc>
      </w:tr>
      <w:tr>
        <w:tc>
          <w:tcPr>
            <w:tcW w:type="dxa" w:w="3513"/>
            <w:vAlign w:val="center"/>
          </w:tcPr>
          <w:p>
            <w:pPr>
              <w:jc w:val="left"/>
            </w:pPr>
            <w:r/>
            <w:r>
              <w:rPr>
                <w:rFonts w:ascii="Times New Roman" w:hAnsi="Times New Roman" w:eastAsia="Times New Roman"/>
                <w:b w:val="0"/>
                <w:sz w:val="15"/>
              </w:rPr>
              <w:t>Giao nhận, kiểm tra, nghiệm thu mặc nhiên</w:t>
            </w:r>
          </w:p>
        </w:tc>
        <w:tc>
          <w:tcPr>
            <w:tcW w:type="dxa" w:w="3513"/>
            <w:vAlign w:val="center"/>
          </w:tcPr>
          <w:p>
            <w:pPr>
              <w:jc w:val="left"/>
            </w:pPr>
            <w:r/>
            <w:r>
              <w:rPr>
                <w:rFonts w:ascii="Times New Roman" w:hAnsi="Times New Roman" w:eastAsia="Times New Roman"/>
                <w:b w:val="0"/>
                <w:sz w:val="15"/>
              </w:rPr>
              <w:t>Bộ luật Dân sự 2015: Điều 394, 400 và nguyên tắc tự do thỏa thuận; Luật Thương mại 2005 về giao hàng, kiểm tra hàng hóa và nghĩa vụ thông báo khi phát hiện sai sót.</w:t>
            </w:r>
          </w:p>
        </w:tc>
        <w:tc>
          <w:tcPr>
            <w:tcW w:type="dxa" w:w="3513"/>
            <w:vAlign w:val="center"/>
          </w:tcPr>
          <w:p>
            <w:pPr>
              <w:jc w:val="left"/>
            </w:pPr>
            <w:r/>
            <w:r>
              <w:rPr>
                <w:rFonts w:ascii="Times New Roman" w:hAnsi="Times New Roman" w:eastAsia="Times New Roman"/>
                <w:b w:val="0"/>
                <w:sz w:val="15"/>
              </w:rPr>
              <w:t>Tạo cơ chế xác nhận khối lượng và hạn chế trì hoãn nghiệm thu.</w:t>
            </w:r>
          </w:p>
        </w:tc>
      </w:tr>
      <w:tr>
        <w:tc>
          <w:tcPr>
            <w:tcW w:type="dxa" w:w="3513"/>
            <w:vAlign w:val="center"/>
          </w:tcPr>
          <w:p>
            <w:pPr>
              <w:jc w:val="left"/>
            </w:pPr>
            <w:r/>
            <w:r>
              <w:rPr>
                <w:rFonts w:ascii="Times New Roman" w:hAnsi="Times New Roman" w:eastAsia="Times New Roman"/>
                <w:b w:val="0"/>
                <w:sz w:val="15"/>
              </w:rPr>
              <w:t>Mua bán hàng hóa, bảo hành hàng hóa</w:t>
            </w:r>
          </w:p>
        </w:tc>
        <w:tc>
          <w:tcPr>
            <w:tcW w:type="dxa" w:w="3513"/>
            <w:vAlign w:val="center"/>
          </w:tcPr>
          <w:p>
            <w:pPr>
              <w:jc w:val="left"/>
            </w:pPr>
            <w:r/>
            <w:r>
              <w:rPr>
                <w:rFonts w:ascii="Times New Roman" w:hAnsi="Times New Roman" w:eastAsia="Times New Roman"/>
                <w:b w:val="0"/>
                <w:sz w:val="15"/>
              </w:rPr>
              <w:t>Luật Thương mại 2005: Điều 44, 49 và các quy định liên quan đến kiểm tra, khiếu nại, bảo hành; Bộ luật Dân sự 2015 về mua bán tài sản/hàng hóa.</w:t>
            </w:r>
          </w:p>
        </w:tc>
        <w:tc>
          <w:tcPr>
            <w:tcW w:type="dxa" w:w="3513"/>
            <w:vAlign w:val="center"/>
          </w:tcPr>
          <w:p>
            <w:pPr>
              <w:jc w:val="left"/>
            </w:pPr>
            <w:r/>
            <w:r>
              <w:rPr>
                <w:rFonts w:ascii="Times New Roman" w:hAnsi="Times New Roman" w:eastAsia="Times New Roman"/>
                <w:b w:val="0"/>
                <w:sz w:val="15"/>
              </w:rPr>
              <w:t>Làm rõ kiểm tra hàng, từ chối nhận hàng, bảo hành và chuyển giao rủi ro.</w:t>
            </w:r>
          </w:p>
        </w:tc>
      </w:tr>
      <w:tr>
        <w:tc>
          <w:tcPr>
            <w:tcW w:type="dxa" w:w="3513"/>
            <w:vAlign w:val="center"/>
          </w:tcPr>
          <w:p>
            <w:pPr>
              <w:jc w:val="left"/>
            </w:pPr>
            <w:r/>
            <w:r>
              <w:rPr>
                <w:rFonts w:ascii="Times New Roman" w:hAnsi="Times New Roman" w:eastAsia="Times New Roman"/>
                <w:b w:val="0"/>
                <w:sz w:val="15"/>
              </w:rPr>
              <w:t>Trao đổi điện tử và chứng cứ</w:t>
            </w:r>
          </w:p>
        </w:tc>
        <w:tc>
          <w:tcPr>
            <w:tcW w:type="dxa" w:w="3513"/>
            <w:vAlign w:val="center"/>
          </w:tcPr>
          <w:p>
            <w:pPr>
              <w:jc w:val="left"/>
            </w:pPr>
            <w:r/>
            <w:r>
              <w:rPr>
                <w:rFonts w:ascii="Times New Roman" w:hAnsi="Times New Roman" w:eastAsia="Times New Roman"/>
                <w:b w:val="0"/>
                <w:sz w:val="15"/>
              </w:rPr>
              <w:t>Luật Giao dịch điện tử 2023: Điều 8, 11, 23; Bộ luật Tố tụng dân sự 2015: Điều 93. Cần lưu log, email, ảnh chụp, metadata để tăng giá trị chứng minh.</w:t>
            </w:r>
          </w:p>
        </w:tc>
        <w:tc>
          <w:tcPr>
            <w:tcW w:type="dxa" w:w="3513"/>
            <w:vAlign w:val="center"/>
          </w:tcPr>
          <w:p>
            <w:pPr>
              <w:jc w:val="left"/>
            </w:pPr>
            <w:r/>
            <w:r>
              <w:rPr>
                <w:rFonts w:ascii="Times New Roman" w:hAnsi="Times New Roman" w:eastAsia="Times New Roman"/>
                <w:b w:val="0"/>
                <w:sz w:val="15"/>
              </w:rPr>
              <w:t>Tăng giá trị chứng cứ của email, log, tin nhắn, hệ thống quản lý.</w:t>
            </w:r>
          </w:p>
        </w:tc>
      </w:tr>
      <w:tr>
        <w:tc>
          <w:tcPr>
            <w:tcW w:type="dxa" w:w="3513"/>
            <w:vAlign w:val="center"/>
          </w:tcPr>
          <w:p>
            <w:pPr>
              <w:jc w:val="left"/>
            </w:pPr>
            <w:r/>
            <w:r>
              <w:rPr>
                <w:rFonts w:ascii="Times New Roman" w:hAnsi="Times New Roman" w:eastAsia="Times New Roman"/>
                <w:b w:val="0"/>
                <w:sz w:val="15"/>
              </w:rPr>
              <w:t>Bảo mật thông tin</w:t>
            </w:r>
          </w:p>
        </w:tc>
        <w:tc>
          <w:tcPr>
            <w:tcW w:type="dxa" w:w="3513"/>
            <w:vAlign w:val="center"/>
          </w:tcPr>
          <w:p>
            <w:pPr>
              <w:jc w:val="left"/>
            </w:pPr>
            <w:r/>
            <w:r>
              <w:rPr>
                <w:rFonts w:ascii="Times New Roman" w:hAnsi="Times New Roman" w:eastAsia="Times New Roman"/>
                <w:b w:val="0"/>
                <w:sz w:val="15"/>
              </w:rPr>
              <w:t>Bộ luật Dân sự 2015: nguyên tắc thiện chí, trung thực, tự do thỏa thuận và trách nhiệm bồi thường; Luật Thương mại 2005 về bảo mật thông tin trong hoạt động thương mại; các quy định bảo vệ dữ liệu/thông tin hiện hành.</w:t>
            </w:r>
          </w:p>
        </w:tc>
        <w:tc>
          <w:tcPr>
            <w:tcW w:type="dxa" w:w="3513"/>
            <w:vAlign w:val="center"/>
          </w:tcPr>
          <w:p>
            <w:pPr>
              <w:jc w:val="left"/>
            </w:pPr>
            <w:r/>
            <w:r>
              <w:rPr>
                <w:rFonts w:ascii="Times New Roman" w:hAnsi="Times New Roman" w:eastAsia="Times New Roman"/>
                <w:b w:val="0"/>
                <w:sz w:val="15"/>
              </w:rPr>
              <w:t>Bảo vệ giá, quy trình, khách hàng, dữ liệu hồ sơ và tài liệu kỹ thuật.</w:t>
            </w:r>
          </w:p>
        </w:tc>
      </w:tr>
      <w:tr>
        <w:tc>
          <w:tcPr>
            <w:tcW w:type="dxa" w:w="3513"/>
            <w:vAlign w:val="center"/>
          </w:tcPr>
          <w:p>
            <w:pPr>
              <w:jc w:val="left"/>
            </w:pPr>
            <w:r/>
            <w:r>
              <w:rPr>
                <w:rFonts w:ascii="Times New Roman" w:hAnsi="Times New Roman" w:eastAsia="Times New Roman"/>
                <w:b w:val="0"/>
                <w:sz w:val="15"/>
              </w:rPr>
              <w:t>Thuế, hóa đơn, chứng từ</w:t>
            </w:r>
          </w:p>
        </w:tc>
        <w:tc>
          <w:tcPr>
            <w:tcW w:type="dxa" w:w="3513"/>
            <w:vAlign w:val="center"/>
          </w:tcPr>
          <w:p>
            <w:pPr>
              <w:jc w:val="left"/>
            </w:pPr>
            <w:r/>
            <w:r>
              <w:rPr>
                <w:rFonts w:ascii="Times New Roman" w:hAnsi="Times New Roman" w:eastAsia="Times New Roman"/>
                <w:b w:val="0"/>
                <w:sz w:val="15"/>
              </w:rPr>
              <w:t>Luật Quản lý thuế, quy định về hóa đơn/chứng từ điện tử, VAT và các văn bản sửa đổi/bổ sung/thay thế có hiệu lực tại thời điểm phát sinh giao dịch.</w:t>
            </w:r>
          </w:p>
        </w:tc>
        <w:tc>
          <w:tcPr>
            <w:tcW w:type="dxa" w:w="3513"/>
            <w:vAlign w:val="center"/>
          </w:tcPr>
          <w:p>
            <w:pPr>
              <w:jc w:val="left"/>
            </w:pPr>
            <w:r/>
            <w:r>
              <w:rPr>
                <w:rFonts w:ascii="Times New Roman" w:hAnsi="Times New Roman" w:eastAsia="Times New Roman"/>
                <w:b w:val="0"/>
                <w:sz w:val="15"/>
              </w:rPr>
              <w:t>Quản trị VAT, hóa đơn, thông tin xuất hóa đơn và thay đổi chính sách.</w:t>
            </w:r>
          </w:p>
        </w:tc>
      </w:tr>
      <w:tr>
        <w:tc>
          <w:tcPr>
            <w:tcW w:type="dxa" w:w="3513"/>
            <w:vAlign w:val="center"/>
          </w:tcPr>
          <w:p>
            <w:pPr>
              <w:jc w:val="left"/>
            </w:pPr>
            <w:r/>
            <w:r>
              <w:rPr>
                <w:rFonts w:ascii="Times New Roman" w:hAnsi="Times New Roman" w:eastAsia="Times New Roman"/>
                <w:b w:val="0"/>
                <w:sz w:val="15"/>
              </w:rPr>
              <w:t>An toàn lao động, PCCC, an toàn điện</w:t>
            </w:r>
          </w:p>
        </w:tc>
        <w:tc>
          <w:tcPr>
            <w:tcW w:type="dxa" w:w="3513"/>
            <w:vAlign w:val="center"/>
          </w:tcPr>
          <w:p>
            <w:pPr>
              <w:jc w:val="left"/>
            </w:pPr>
            <w:r/>
            <w:r>
              <w:rPr>
                <w:rFonts w:ascii="Times New Roman" w:hAnsi="Times New Roman" w:eastAsia="Times New Roman"/>
                <w:b w:val="0"/>
                <w:sz w:val="15"/>
              </w:rPr>
              <w:t>Luật An toàn, vệ sinh lao động, quy định về PCCC, an toàn điện và quy chuẩn kỹ thuật chuyên ngành áp dụng cho địa điểm/hạng mục công việc.</w:t>
            </w:r>
          </w:p>
        </w:tc>
        <w:tc>
          <w:tcPr>
            <w:tcW w:type="dxa" w:w="3513"/>
            <w:vAlign w:val="center"/>
          </w:tcPr>
          <w:p>
            <w:pPr>
              <w:jc w:val="left"/>
            </w:pPr>
            <w:r/>
            <w:r>
              <w:rPr>
                <w:rFonts w:ascii="Times New Roman" w:hAnsi="Times New Roman" w:eastAsia="Times New Roman"/>
                <w:b w:val="0"/>
                <w:sz w:val="15"/>
              </w:rPr>
              <w:t>Kiểm soát trách nhiệm hiện trường và quyền dừng vì lý do an toàn.</w:t>
            </w:r>
          </w:p>
        </w:tc>
      </w:tr>
      <w:tr>
        <w:tc>
          <w:tcPr>
            <w:tcW w:type="dxa" w:w="3513"/>
            <w:vAlign w:val="center"/>
          </w:tcPr>
          <w:p>
            <w:pPr>
              <w:jc w:val="left"/>
            </w:pPr>
            <w:r/>
            <w:r>
              <w:rPr>
                <w:rFonts w:ascii="Times New Roman" w:hAnsi="Times New Roman" w:eastAsia="Times New Roman"/>
                <w:b w:val="0"/>
                <w:sz w:val="15"/>
              </w:rPr>
              <w:t>Bất khả kháng</w:t>
            </w:r>
          </w:p>
        </w:tc>
        <w:tc>
          <w:tcPr>
            <w:tcW w:type="dxa" w:w="3513"/>
            <w:vAlign w:val="center"/>
          </w:tcPr>
          <w:p>
            <w:pPr>
              <w:jc w:val="left"/>
            </w:pPr>
            <w:r/>
            <w:r>
              <w:rPr>
                <w:rFonts w:ascii="Times New Roman" w:hAnsi="Times New Roman" w:eastAsia="Times New Roman"/>
                <w:b w:val="0"/>
                <w:sz w:val="15"/>
              </w:rPr>
              <w:t>Bộ luật Dân sự 2015: Điều 351 khoản 2 và nguyên tắc miễn trách nhiệm khi có sự kiện bất khả kháng; cần quy định nghĩa vụ thông báo và giảm thiểu thiệt hại.</w:t>
            </w:r>
          </w:p>
        </w:tc>
        <w:tc>
          <w:tcPr>
            <w:tcW w:type="dxa" w:w="3513"/>
            <w:vAlign w:val="center"/>
          </w:tcPr>
          <w:p>
            <w:pPr>
              <w:jc w:val="left"/>
            </w:pPr>
            <w:r/>
            <w:r>
              <w:rPr>
                <w:rFonts w:ascii="Times New Roman" w:hAnsi="Times New Roman" w:eastAsia="Times New Roman"/>
                <w:b w:val="0"/>
                <w:sz w:val="15"/>
              </w:rPr>
              <w:t>Miễn/giãn trách nhiệm khi có sự kiện khách quan ngoài kiểm soát.</w:t>
            </w:r>
          </w:p>
        </w:tc>
      </w:tr>
    </w:tbl>
    <w:p>
      <w:pPr>
        <w:spacing w:after="40" w:line="252" w:lineRule="auto"/>
        <w:jc w:val="center"/>
      </w:pPr>
      <w:r>
        <w:rPr>
          <w:rFonts w:ascii="Times New Roman" w:hAnsi="Times New Roman" w:eastAsia="Times New Roman"/>
          <w:b/>
          <w:i w:val="0"/>
          <w:sz w:val="22"/>
        </w:rPr>
        <w:t>Phụ lục - Checklist trước khi ký</w:t>
      </w:r>
    </w:p>
    <w:p>
      <w:pPr>
        <w:ind w:left="227"/>
      </w:pPr>
      <w:r>
        <w:rPr>
          <w:rFonts w:ascii="Times New Roman" w:hAnsi="Times New Roman" w:eastAsia="Times New Roman"/>
          <w:sz w:val="18"/>
        </w:rPr>
        <w:t>☐ Điền đầy đủ số hợp đồng/phụ lục, ngày ký, người đại diện, chức vụ và thẩm quyền ký.</w:t>
      </w:r>
    </w:p>
    <w:p>
      <w:pPr>
        <w:ind w:left="227"/>
      </w:pPr>
      <w:r>
        <w:rPr>
          <w:rFonts w:ascii="Times New Roman" w:hAnsi="Times New Roman" w:eastAsia="Times New Roman"/>
          <w:sz w:val="18"/>
        </w:rPr>
        <w:t>☐ Điền rõ VAT, giá đã bao gồm hay chưa bao gồm VAT, tổng thanh toán và số tiền bằng chữ nếu cần.</w:t>
      </w:r>
    </w:p>
    <w:p>
      <w:pPr>
        <w:ind w:left="227"/>
      </w:pPr>
      <w:r>
        <w:rPr>
          <w:rFonts w:ascii="Times New Roman" w:hAnsi="Times New Roman" w:eastAsia="Times New Roman"/>
          <w:sz w:val="18"/>
        </w:rPr>
        <w:t>☐ Điền rõ tiến độ thanh toán, thời hạn thanh toán, lãi chậm trả và hồ sơ thanh toán.</w:t>
      </w:r>
    </w:p>
    <w:p>
      <w:pPr>
        <w:ind w:left="227"/>
      </w:pPr>
      <w:r>
        <w:rPr>
          <w:rFonts w:ascii="Times New Roman" w:hAnsi="Times New Roman" w:eastAsia="Times New Roman"/>
          <w:sz w:val="18"/>
        </w:rPr>
        <w:t>☐ Điền rõ thời hạn kiểm tra/nghiệm thu mặc nhiên, thời hạn bảo hành và phạm vi loại trừ bảo hành.</w:t>
      </w:r>
    </w:p>
    <w:p>
      <w:pPr>
        <w:ind w:left="227"/>
      </w:pPr>
      <w:r>
        <w:rPr>
          <w:rFonts w:ascii="Times New Roman" w:hAnsi="Times New Roman" w:eastAsia="Times New Roman"/>
          <w:sz w:val="18"/>
        </w:rPr>
        <w:t>☐ Kiểm tra mức phạt vi phạm không vượt giới hạn pháp luật áp dụng cho loại giao dịch.</w:t>
      </w:r>
    </w:p>
    <w:p>
      <w:pPr>
        <w:ind w:left="227"/>
      </w:pPr>
      <w:r>
        <w:rPr>
          <w:rFonts w:ascii="Times New Roman" w:hAnsi="Times New Roman" w:eastAsia="Times New Roman"/>
          <w:sz w:val="18"/>
        </w:rPr>
        <w:t>☐ Đính kèm báo giá, bảng khối lượng, phụ lục tiến độ, phụ lục kỹ thuật, phụ lục chính sách nếu dùng.</w:t>
      </w:r>
    </w:p>
    <w:p>
      <w:pPr>
        <w:ind w:left="227"/>
      </w:pPr>
      <w:r>
        <w:rPr>
          <w:rFonts w:ascii="Times New Roman" w:hAnsi="Times New Roman" w:eastAsia="Times New Roman"/>
          <w:sz w:val="18"/>
        </w:rPr>
        <w:t>☐ Kiểm tra thông tin xuất hóa đơn, tài khoản ngân hàng và người nhận thông báo/email chính thức.</w:t>
      </w:r>
    </w:p>
    <w:p>
      <w:pPr>
        <w:ind w:left="227"/>
      </w:pPr>
      <w:r>
        <w:rPr>
          <w:rFonts w:ascii="Times New Roman" w:hAnsi="Times New Roman" w:eastAsia="Times New Roman"/>
          <w:sz w:val="18"/>
        </w:rPr>
        <w:t>☐ Với hợp đồng giá trị lớn/nhà nước/nước ngoài: chuyển LEXcentra/kế toán/luật sư rà cuối trước khi ký.</w:t>
      </w:r>
    </w:p>
    <w:sectPr w:rsidR="00FC693F" w:rsidRPr="0006063C" w:rsidSect="00034616">
      <w:headerReference w:type="default" r:id="rId9"/>
      <w:footerReference w:type="default" r:id="rId10"/>
      <w:pgSz w:w="12240" w:h="15840"/>
      <w:pgMar w:top="794"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6"/>
      </w:rPr>
      <w:t xml:space="preserve">THANH HOÀI Contract Template v3.0 - LEX References | Trang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sz w:val="16"/>
      </w:rPr>
      <w:t>THANH HOÀI ERP - BỘ MẪU HỢP ĐỒNG | HỢP ĐỒNG NGUYÊN TẮC | Mã mẫu: HDNT-TH-v3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