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b/>
          <w:i w:val="0"/>
          <w:sz w:val="24"/>
        </w:rPr>
        <w:t>CỘNG HÒA XÃ HỘI CHỦ NGHĨA VIỆT NAM</w:t>
      </w:r>
    </w:p>
    <w:p>
      <w:pPr>
        <w:spacing w:after="40" w:line="252" w:lineRule="auto"/>
        <w:jc w:val="center"/>
      </w:pPr>
      <w:r>
        <w:rPr>
          <w:rFonts w:ascii="Times New Roman" w:hAnsi="Times New Roman" w:eastAsia="Times New Roman"/>
          <w:b/>
          <w:i w:val="0"/>
          <w:sz w:val="22"/>
        </w:rPr>
        <w:t>Độc lập - Tự do - Hạnh phúc</w:t>
      </w:r>
    </w:p>
    <w:p>
      <w:pPr>
        <w:spacing w:after="40" w:line="252" w:lineRule="auto"/>
        <w:jc w:val="center"/>
      </w:pPr>
      <w:r>
        <w:rPr>
          <w:rFonts w:ascii="Times New Roman" w:hAnsi="Times New Roman" w:eastAsia="Times New Roman"/>
          <w:b w:val="0"/>
          <w:i w:val="0"/>
          <w:sz w:val="20"/>
        </w:rPr>
        <w:t>---o0o---</w:t>
      </w:r>
    </w:p>
    <w:p>
      <w:pPr>
        <w:spacing w:after="40" w:line="252" w:lineRule="auto"/>
        <w:jc w:val="center"/>
      </w:pPr>
      <w:r>
        <w:rPr>
          <w:rFonts w:ascii="Times New Roman" w:hAnsi="Times New Roman" w:eastAsia="Times New Roman"/>
          <w:b/>
          <w:i w:val="0"/>
          <w:sz w:val="32"/>
        </w:rPr>
        <w:t>HỢP ĐỒNG MUA BÁN HÀNG HÓA</w:t>
      </w:r>
    </w:p>
    <w:p>
      <w:pPr>
        <w:spacing w:after="40" w:line="252" w:lineRule="auto"/>
        <w:jc w:val="center"/>
      </w:pPr>
      <w:r>
        <w:rPr>
          <w:rFonts w:ascii="Times New Roman" w:hAnsi="Times New Roman" w:eastAsia="Times New Roman"/>
          <w:b/>
          <w:i w:val="0"/>
          <w:sz w:val="22"/>
        </w:rPr>
        <w:t>Số: {{so_hop_dong}}/HĐMB/TH</w:t>
      </w:r>
    </w:p>
    <w:p>
      <w:pPr>
        <w:spacing w:after="40" w:line="252" w:lineRule="auto"/>
      </w:pPr>
      <w:r>
        <w:rPr>
          <w:rFonts w:ascii="Times New Roman" w:hAnsi="Times New Roman" w:eastAsia="Times New Roman"/>
          <w:b/>
          <w:i w:val="0"/>
          <w:sz w:val="20"/>
        </w:rPr>
        <w:t>Căn cứ ký kết:</w:t>
      </w:r>
    </w:p>
    <w:p>
      <w:pPr>
        <w:spacing w:after="20"/>
        <w:ind w:left="227"/>
      </w:pPr>
      <w:r>
        <w:rPr>
          <w:rFonts w:ascii="Times New Roman" w:hAnsi="Times New Roman" w:eastAsia="Times New Roman"/>
          <w:sz w:val="18"/>
        </w:rPr>
        <w:t>• Bộ luật Dân sự năm 2015, đặc biệt các quy định về giao kết, thực hiện hợp đồng, phạt vi phạm, bồi thường thiệt hại, chậm thực hiện nghĩa vụ, bất khả kháng, tạm ngừng/đơn phương chấm dứt hợp đồng và hiệu lực giao dịch dân sự;</w:t>
      </w:r>
    </w:p>
    <w:p>
      <w:pPr>
        <w:spacing w:after="20"/>
        <w:ind w:left="227"/>
      </w:pPr>
      <w:r>
        <w:rPr>
          <w:rFonts w:ascii="Times New Roman" w:hAnsi="Times New Roman" w:eastAsia="Times New Roman"/>
          <w:sz w:val="18"/>
        </w:rPr>
        <w:t>• Luật Thương mại năm 2005, đặc biệt các quy định về phạt vi phạm, bồi thường thiệt hại, lãi chậm thanh toán, tạm ngừng/đình chỉ/hủy bỏ hợp đồng, mua bán hàng hóa, cung ứng dịch vụ và nghĩa vụ của thương nhân;</w:t>
      </w:r>
    </w:p>
    <w:p>
      <w:pPr>
        <w:spacing w:after="20"/>
        <w:ind w:left="227"/>
      </w:pPr>
      <w:r>
        <w:rPr>
          <w:rFonts w:ascii="Times New Roman" w:hAnsi="Times New Roman" w:eastAsia="Times New Roman"/>
          <w:sz w:val="18"/>
        </w:rPr>
        <w:t>• Luật Giao dịch điện tử năm 2023 và các văn bản hướng dẫn về thông điệp dữ liệu, chứng cứ điện tử, chữ ký điện tử/chữ ký số và giá trị pháp lý của giao dịch điện tử;</w:t>
      </w:r>
    </w:p>
    <w:p>
      <w:pPr>
        <w:spacing w:after="20"/>
        <w:ind w:left="227"/>
      </w:pPr>
      <w:r>
        <w:rPr>
          <w:rFonts w:ascii="Times New Roman" w:hAnsi="Times New Roman" w:eastAsia="Times New Roman"/>
          <w:sz w:val="18"/>
        </w:rPr>
        <w:t>• Bộ luật Tố tụng dân sự năm 2015, đặc biệt quy định về chứng cứ và nguồn chứng cứ khi có tranh chấp;</w:t>
      </w:r>
    </w:p>
    <w:p>
      <w:pPr>
        <w:spacing w:after="20"/>
        <w:ind w:left="227"/>
      </w:pPr>
      <w:r>
        <w:rPr>
          <w:rFonts w:ascii="Times New Roman" w:hAnsi="Times New Roman" w:eastAsia="Times New Roman"/>
          <w:sz w:val="18"/>
        </w:rPr>
        <w:t>• Nghị quyết 01/2019/NQ-HĐTP và các hướng dẫn xét xử có liên quan đến xác định lãi suất, lãi chậm trả và nghĩa vụ thanh toán;</w:t>
      </w:r>
    </w:p>
    <w:p>
      <w:pPr>
        <w:spacing w:after="20"/>
        <w:ind w:left="227"/>
      </w:pPr>
      <w:r>
        <w:rPr>
          <w:rFonts w:ascii="Times New Roman" w:hAnsi="Times New Roman" w:eastAsia="Times New Roman"/>
          <w:sz w:val="18"/>
        </w:rPr>
        <w:t>• Các quy định pháp luật hiện hành về thuế, hóa đơn, chứng từ, an toàn lao động, an toàn điện, phòng cháy chữa cháy, bảo vệ dữ liệu/hồ sơ, bảo hành và quy định chuyên ngành có liên quan tại thời điểm ký kết và thực hiện hợp đồng;</w:t>
      </w:r>
    </w:p>
    <w:p>
      <w:pPr>
        <w:spacing w:after="20"/>
        <w:ind w:left="227"/>
      </w:pPr>
      <w:r>
        <w:rPr>
          <w:rFonts w:ascii="Times New Roman" w:hAnsi="Times New Roman" w:eastAsia="Times New Roman"/>
          <w:sz w:val="18"/>
        </w:rPr>
        <w:t>• Báo giá, phụ lục, đơn đặt hàng, biên bản khảo sát, biên bản giao nhận, biên bản nghiệm thu, bảng quyết toán, thư đề nghị thanh toán, email/xác nhận điện tử và các tài liệu hợp lệ khác của hai bên.</w:t>
      </w:r>
    </w:p>
    <w:p>
      <w:pPr>
        <w:spacing w:after="40" w:line="252" w:lineRule="auto"/>
      </w:pPr>
      <w:r>
        <w:rPr>
          <w:rFonts w:ascii="Times New Roman" w:hAnsi="Times New Roman" w:eastAsia="Times New Roman"/>
          <w:b w:val="0"/>
          <w:i/>
          <w:sz w:val="20"/>
        </w:rPr>
        <w:t>Hôm nay, ngày {{ngay}} tháng {{thang}} năm {{nam}}, tại {{dia_diem_ky}}, chúng tôi gồm:</w:t>
      </w:r>
    </w:p>
    <w:tbl>
      <w:tblPr>
        <w:tblStyle w:val="TableGrid"/>
        <w:tblW w:type="auto" w:w="0"/>
        <w:jc w:val="center"/>
        <w:tblLook w:firstColumn="1" w:firstRow="1" w:lastColumn="0" w:lastRow="0" w:noHBand="0" w:noVBand="1" w:val="04A0"/>
      </w:tblPr>
      <w:tblGrid>
        <w:gridCol w:w="5270"/>
        <w:gridCol w:w="5270"/>
      </w:tblGrid>
      <w:tr>
        <w:trPr>
          <w:tblHeader w:val="true"/>
        </w:trPr>
        <w:tc>
          <w:tcPr>
            <w:tcW w:type="dxa" w:w="5270"/>
            <w:vAlign w:val="center"/>
            <w:shd w:fill="D9EAF7"/>
          </w:tcPr>
          <w:p>
            <w:pPr>
              <w:spacing w:after="20"/>
              <w:jc w:val="center"/>
            </w:pPr>
            <w:r/>
            <w:r>
              <w:rPr>
                <w:rFonts w:ascii="Times New Roman" w:hAnsi="Times New Roman" w:eastAsia="Times New Roman"/>
                <w:b/>
                <w:sz w:val="20"/>
              </w:rPr>
              <w:t>BÊN A - KHÁCH HÀNG / ĐỐI TÁC</w:t>
            </w:r>
          </w:p>
        </w:tc>
        <w:tc>
          <w:tcPr>
            <w:tcW w:type="dxa" w:w="5270"/>
            <w:vAlign w:val="center"/>
            <w:shd w:fill="D9EAF7"/>
          </w:tcPr>
          <w:p>
            <w:pPr>
              <w:spacing w:after="20"/>
              <w:jc w:val="center"/>
            </w:pPr>
            <w:r/>
            <w:r>
              <w:rPr>
                <w:rFonts w:ascii="Times New Roman" w:hAnsi="Times New Roman" w:eastAsia="Times New Roman"/>
                <w:b/>
                <w:sz w:val="20"/>
              </w:rPr>
              <w:t>BÊN B - THANH HOÀI</w:t>
            </w:r>
          </w:p>
        </w:tc>
      </w:tr>
      <w:tr>
        <w:tc>
          <w:tcPr>
            <w:tcW w:type="dxa" w:w="5270"/>
            <w:vAlign w:val="center"/>
          </w:tcPr>
          <w:p>
            <w:pPr>
              <w:spacing w:after="20"/>
              <w:jc w:val="left"/>
            </w:pPr>
            <w:r/>
            <w:r>
              <w:rPr>
                <w:rFonts w:ascii="Times New Roman" w:hAnsi="Times New Roman" w:eastAsia="Times New Roman"/>
                <w:b w:val="0"/>
                <w:sz w:val="20"/>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270"/>
            <w:vAlign w:val="center"/>
          </w:tcPr>
          <w:p>
            <w:pPr>
              <w:spacing w:after="20"/>
              <w:jc w:val="left"/>
            </w:pPr>
            <w:r/>
            <w:r>
              <w:rPr>
                <w:rFonts w:ascii="Times New Roman" w:hAnsi="Times New Roman" w:eastAsia="Times New Roman"/>
                <w:b w:val="0"/>
                <w:sz w:val="20"/>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pPr>
        <w:spacing w:after="40" w:line="252" w:lineRule="auto"/>
      </w:pPr>
      <w:r>
        <w:rPr>
          <w:rFonts w:ascii="Times New Roman" w:hAnsi="Times New Roman" w:eastAsia="Times New Roman"/>
          <w:b w:val="0"/>
          <w:i w:val="0"/>
          <w:sz w:val="20"/>
        </w:rPr>
      </w:r>
    </w:p>
    <w:p>
      <w:pPr>
        <w:spacing w:after="40" w:line="252" w:lineRule="auto"/>
      </w:pPr>
      <w:r>
        <w:rPr>
          <w:rFonts w:ascii="Times New Roman" w:hAnsi="Times New Roman" w:eastAsia="Times New Roman"/>
          <w:b w:val="0"/>
          <w:i w:val="0"/>
          <w:sz w:val="20"/>
        </w:rPr>
        <w:t>Sau khi bàn bạc trên tinh thần thiện chí, trung thực, bình đẳng và cùng có lợi, hai bên thống nhất ký kết văn bản này với các điều khoản sau:</w:t>
      </w:r>
    </w:p>
    <w:p>
      <w:pPr>
        <w:spacing w:after="40" w:line="252" w:lineRule="auto"/>
      </w:pPr>
      <w:r>
        <w:rPr>
          <w:rFonts w:ascii="Times New Roman" w:hAnsi="Times New Roman" w:eastAsia="Times New Roman"/>
          <w:b/>
          <w:i w:val="0"/>
          <w:sz w:val="21"/>
        </w:rPr>
        <w:t>Điều 1. Hàng hóa, số lượng, quy cách và hồ sơ hợp đồng</w:t>
      </w:r>
    </w:p>
    <w:p>
      <w:pPr>
        <w:spacing w:after="40"/>
        <w:ind w:left="227" w:hanging="142"/>
      </w:pPr>
      <w:r>
        <w:rPr>
          <w:rFonts w:ascii="Times New Roman" w:hAnsi="Times New Roman" w:eastAsia="Times New Roman"/>
          <w:sz w:val="20"/>
        </w:rPr>
        <w:t>1. Bên B đồng ý bán cho Bên A hàng hóa theo danh mục, số lượng, quy cách, đơn giá và thành tiền được ghi tại Hợp đồng này, báo giá, phụ lục, đơn đặt hàng hoặc xác nhận đơn hàng hợp lệ.</w:t>
      </w:r>
    </w:p>
    <w:p>
      <w:pPr>
        <w:spacing w:after="40"/>
        <w:ind w:left="227" w:hanging="142"/>
      </w:pPr>
      <w:r>
        <w:rPr>
          <w:rFonts w:ascii="Times New Roman" w:hAnsi="Times New Roman" w:eastAsia="Times New Roman"/>
          <w:sz w:val="20"/>
        </w:rPr>
        <w:t>2. Hồ sơ hợp đồng gồm Hợp đồng này, phụ lục, báo giá, đơn đặt hàng/xác nhận đơn hàng, phiếu giao hàng, phiếu xuất kho, hóa đơn, tài liệu kỹ thuật, phiếu bảo hành và các xác nhận điện tử hợp lệ.</w:t>
      </w:r>
    </w:p>
    <w:p>
      <w:pPr>
        <w:spacing w:after="40"/>
        <w:ind w:left="227" w:hanging="142"/>
      </w:pPr>
      <w:r>
        <w:rPr>
          <w:rFonts w:ascii="Times New Roman" w:hAnsi="Times New Roman" w:eastAsia="Times New Roman"/>
          <w:sz w:val="20"/>
        </w:rPr>
        <w:t>3. Trường hợp có mâu thuẫn, thứ tự ưu tiên là: phụ lục/xác nhận phát sinh ký sau cùng; Hợp đồng này; báo giá/đơn đặt hàng; phiếu giao hàng/phiếu xuất kho; email/xác nhận điện tử hợp lệ, trừ quy định pháp luật bắt buộc.</w:t>
      </w:r>
    </w:p>
    <w:p>
      <w:pPr>
        <w:spacing w:before="20" w:after="80"/>
        <w:ind w:left="198"/>
      </w:pPr>
      <w:r>
        <w:rPr>
          <w:rFonts w:ascii="Times New Roman" w:hAnsi="Times New Roman" w:eastAsia="Times New Roman"/>
          <w:i/>
          <w:color w:val="464646"/>
          <w:sz w:val="17"/>
        </w:rPr>
        <w:t>Cơ sở pháp lý tham chiếu nội bộ: Bộ luật Dân sự 2015 về giao kết, hiệu lực, giải thích hợp đồng; Luật Thương mại 2005 về mua bán hàng hóa và chứng từ giao dịch.</w:t>
      </w:r>
    </w:p>
    <w:p>
      <w:pPr>
        <w:spacing w:after="40" w:line="252" w:lineRule="auto"/>
      </w:pPr>
      <w:r>
        <w:rPr>
          <w:rFonts w:ascii="Times New Roman" w:hAnsi="Times New Roman" w:eastAsia="Times New Roman"/>
          <w:b/>
          <w:i w:val="0"/>
          <w:sz w:val="20"/>
        </w:rPr>
        <w:t>Danh mục hàng hóa</w:t>
      </w:r>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gridCol w:w="1317"/>
      </w:tblGrid>
      <w:tr>
        <w:trPr>
          <w:tblHeader w:val="true"/>
        </w:trPr>
        <w:tc>
          <w:tcPr>
            <w:tcW w:type="dxa" w:w="1317"/>
            <w:vAlign w:val="center"/>
            <w:shd w:fill="D9EAF7"/>
          </w:tcPr>
          <w:p>
            <w:pPr>
              <w:jc w:val="center"/>
            </w:pPr>
            <w:r/>
            <w:r>
              <w:rPr>
                <w:rFonts w:ascii="Times New Roman" w:hAnsi="Times New Roman" w:eastAsia="Times New Roman"/>
                <w:b/>
                <w:sz w:val="17"/>
              </w:rPr>
              <w:t>STT</w:t>
            </w:r>
          </w:p>
        </w:tc>
        <w:tc>
          <w:tcPr>
            <w:tcW w:type="dxa" w:w="1317"/>
            <w:vAlign w:val="center"/>
            <w:shd w:fill="D9EAF7"/>
          </w:tcPr>
          <w:p>
            <w:pPr>
              <w:jc w:val="center"/>
            </w:pPr>
            <w:r/>
            <w:r>
              <w:rPr>
                <w:rFonts w:ascii="Times New Roman" w:hAnsi="Times New Roman" w:eastAsia="Times New Roman"/>
                <w:b/>
                <w:sz w:val="17"/>
              </w:rPr>
              <w:t>Tên hàng hóa / hạng mục</w:t>
            </w:r>
          </w:p>
        </w:tc>
        <w:tc>
          <w:tcPr>
            <w:tcW w:type="dxa" w:w="1317"/>
            <w:vAlign w:val="center"/>
            <w:shd w:fill="D9EAF7"/>
          </w:tcPr>
          <w:p>
            <w:pPr>
              <w:jc w:val="center"/>
            </w:pPr>
            <w:r/>
            <w:r>
              <w:rPr>
                <w:rFonts w:ascii="Times New Roman" w:hAnsi="Times New Roman" w:eastAsia="Times New Roman"/>
                <w:b/>
                <w:sz w:val="17"/>
              </w:rPr>
              <w:t>Quy cách / Model</w:t>
            </w:r>
          </w:p>
        </w:tc>
        <w:tc>
          <w:tcPr>
            <w:tcW w:type="dxa" w:w="1317"/>
            <w:vAlign w:val="center"/>
            <w:shd w:fill="D9EAF7"/>
          </w:tcPr>
          <w:p>
            <w:pPr>
              <w:jc w:val="center"/>
            </w:pPr>
            <w:r/>
            <w:r>
              <w:rPr>
                <w:rFonts w:ascii="Times New Roman" w:hAnsi="Times New Roman" w:eastAsia="Times New Roman"/>
                <w:b/>
                <w:sz w:val="17"/>
              </w:rPr>
              <w:t>ĐVT</w:t>
            </w:r>
          </w:p>
        </w:tc>
        <w:tc>
          <w:tcPr>
            <w:tcW w:type="dxa" w:w="1317"/>
            <w:vAlign w:val="center"/>
            <w:shd w:fill="D9EAF7"/>
          </w:tcPr>
          <w:p>
            <w:pPr>
              <w:jc w:val="center"/>
            </w:pPr>
            <w:r/>
            <w:r>
              <w:rPr>
                <w:rFonts w:ascii="Times New Roman" w:hAnsi="Times New Roman" w:eastAsia="Times New Roman"/>
                <w:b/>
                <w:sz w:val="17"/>
              </w:rPr>
              <w:t>Số lượng</w:t>
            </w:r>
          </w:p>
        </w:tc>
        <w:tc>
          <w:tcPr>
            <w:tcW w:type="dxa" w:w="1317"/>
            <w:vAlign w:val="center"/>
            <w:shd w:fill="D9EAF7"/>
          </w:tcPr>
          <w:p>
            <w:pPr>
              <w:jc w:val="center"/>
            </w:pPr>
            <w:r/>
            <w:r>
              <w:rPr>
                <w:rFonts w:ascii="Times New Roman" w:hAnsi="Times New Roman" w:eastAsia="Times New Roman"/>
                <w:b/>
                <w:sz w:val="17"/>
              </w:rPr>
              <w:t>Đơn giá</w:t>
            </w:r>
          </w:p>
        </w:tc>
        <w:tc>
          <w:tcPr>
            <w:tcW w:type="dxa" w:w="1317"/>
            <w:vAlign w:val="center"/>
            <w:shd w:fill="D9EAF7"/>
          </w:tcPr>
          <w:p>
            <w:pPr>
              <w:jc w:val="center"/>
            </w:pPr>
            <w:r/>
            <w:r>
              <w:rPr>
                <w:rFonts w:ascii="Times New Roman" w:hAnsi="Times New Roman" w:eastAsia="Times New Roman"/>
                <w:b/>
                <w:sz w:val="17"/>
              </w:rPr>
              <w:t>Thành tiền</w:t>
            </w:r>
          </w:p>
        </w:tc>
        <w:tc>
          <w:tcPr>
            <w:tcW w:type="dxa" w:w="1317"/>
            <w:vAlign w:val="center"/>
            <w:shd w:fill="D9EAF7"/>
          </w:tcPr>
          <w:p>
            <w:pPr>
              <w:jc w:val="center"/>
            </w:pPr>
            <w:r/>
            <w:r>
              <w:rPr>
                <w:rFonts w:ascii="Times New Roman" w:hAnsi="Times New Roman" w:eastAsia="Times New Roman"/>
                <w:b/>
                <w:sz w:val="17"/>
              </w:rPr>
              <w:t>Ghi chú</w:t>
            </w:r>
          </w:p>
        </w:tc>
      </w:tr>
      <w:tr>
        <w:tc>
          <w:tcPr>
            <w:tcW w:type="dxa" w:w="1317"/>
            <w:vAlign w:val="center"/>
          </w:tcPr>
          <w:p>
            <w:pPr>
              <w:jc w:val="center"/>
            </w:pPr>
            <w:r/>
            <w:r>
              <w:rPr>
                <w:rFonts w:ascii="Times New Roman" w:hAnsi="Times New Roman" w:eastAsia="Times New Roman"/>
                <w:b w:val="0"/>
                <w:sz w:val="16"/>
              </w:rPr>
              <w:t>1</w:t>
            </w:r>
          </w:p>
        </w:tc>
        <w:tc>
          <w:tcPr>
            <w:tcW w:type="dxa" w:w="1317"/>
            <w:vAlign w:val="center"/>
          </w:tcPr>
          <w:p>
            <w:pPr>
              <w:jc w:val="left"/>
            </w:pPr>
            <w:r/>
            <w:r>
              <w:rPr>
                <w:rFonts w:ascii="Times New Roman" w:hAnsi="Times New Roman" w:eastAsia="Times New Roman"/>
                <w:b w:val="0"/>
                <w:sz w:val="16"/>
              </w:rPr>
              <w:t>{{ten_hang_muc_1}}</w:t>
            </w:r>
          </w:p>
        </w:tc>
        <w:tc>
          <w:tcPr>
            <w:tcW w:type="dxa" w:w="1317"/>
            <w:vAlign w:val="center"/>
          </w:tcPr>
          <w:p>
            <w:pPr>
              <w:jc w:val="left"/>
            </w:pPr>
            <w:r/>
            <w:r>
              <w:rPr>
                <w:rFonts w:ascii="Times New Roman" w:hAnsi="Times New Roman" w:eastAsia="Times New Roman"/>
                <w:b w:val="0"/>
                <w:sz w:val="16"/>
              </w:rPr>
              <w:t>{{quy_cach_1}}</w:t>
            </w:r>
          </w:p>
        </w:tc>
        <w:tc>
          <w:tcPr>
            <w:tcW w:type="dxa" w:w="1317"/>
            <w:vAlign w:val="center"/>
          </w:tcPr>
          <w:p>
            <w:pPr>
              <w:jc w:val="center"/>
            </w:pPr>
            <w:r/>
            <w:r>
              <w:rPr>
                <w:rFonts w:ascii="Times New Roman" w:hAnsi="Times New Roman" w:eastAsia="Times New Roman"/>
                <w:b w:val="0"/>
                <w:sz w:val="16"/>
              </w:rPr>
              <w:t>{{dvt_1}}</w:t>
            </w:r>
          </w:p>
        </w:tc>
        <w:tc>
          <w:tcPr>
            <w:tcW w:type="dxa" w:w="1317"/>
            <w:vAlign w:val="center"/>
          </w:tcPr>
          <w:p>
            <w:pPr>
              <w:jc w:val="center"/>
            </w:pPr>
            <w:r/>
            <w:r>
              <w:rPr>
                <w:rFonts w:ascii="Times New Roman" w:hAnsi="Times New Roman" w:eastAsia="Times New Roman"/>
                <w:b w:val="0"/>
                <w:sz w:val="16"/>
              </w:rPr>
              <w:t>{{so_luong_1}}</w:t>
            </w:r>
          </w:p>
        </w:tc>
        <w:tc>
          <w:tcPr>
            <w:tcW w:type="dxa" w:w="1317"/>
            <w:vAlign w:val="center"/>
          </w:tcPr>
          <w:p>
            <w:pPr>
              <w:jc w:val="center"/>
            </w:pPr>
            <w:r/>
            <w:r>
              <w:rPr>
                <w:rFonts w:ascii="Times New Roman" w:hAnsi="Times New Roman" w:eastAsia="Times New Roman"/>
                <w:b w:val="0"/>
                <w:sz w:val="16"/>
              </w:rPr>
              <w:t>{{don_gia_1}}</w:t>
            </w:r>
          </w:p>
        </w:tc>
        <w:tc>
          <w:tcPr>
            <w:tcW w:type="dxa" w:w="1317"/>
            <w:vAlign w:val="center"/>
          </w:tcPr>
          <w:p>
            <w:pPr>
              <w:jc w:val="center"/>
            </w:pPr>
            <w:r/>
            <w:r>
              <w:rPr>
                <w:rFonts w:ascii="Times New Roman" w:hAnsi="Times New Roman" w:eastAsia="Times New Roman"/>
                <w:b w:val="0"/>
                <w:sz w:val="16"/>
              </w:rPr>
              <w:t>{{thanh_tien_1}}</w:t>
            </w:r>
          </w:p>
        </w:tc>
        <w:tc>
          <w:tcPr>
            <w:tcW w:type="dxa" w:w="1317"/>
            <w:vAlign w:val="center"/>
          </w:tcPr>
          <w:p>
            <w:pPr>
              <w:jc w:val="left"/>
            </w:pPr>
            <w:r/>
            <w:r>
              <w:rPr>
                <w:rFonts w:ascii="Times New Roman" w:hAnsi="Times New Roman" w:eastAsia="Times New Roman"/>
                <w:b w:val="0"/>
                <w:sz w:val="16"/>
              </w:rPr>
              <w:t>{{ghi_chu_1}}</w:t>
            </w:r>
          </w:p>
        </w:tc>
      </w:tr>
      <w:tr>
        <w:tc>
          <w:tcPr>
            <w:tcW w:type="dxa" w:w="1317"/>
            <w:vAlign w:val="center"/>
          </w:tcPr>
          <w:p>
            <w:pPr>
              <w:jc w:val="center"/>
            </w:pPr>
            <w:r/>
            <w:r>
              <w:rPr>
                <w:rFonts w:ascii="Times New Roman" w:hAnsi="Times New Roman" w:eastAsia="Times New Roman"/>
                <w:b w:val="0"/>
                <w:sz w:val="16"/>
              </w:rPr>
              <w:t>2</w:t>
            </w:r>
          </w:p>
        </w:tc>
        <w:tc>
          <w:tcPr>
            <w:tcW w:type="dxa" w:w="1317"/>
            <w:vAlign w:val="center"/>
          </w:tcPr>
          <w:p>
            <w:pPr>
              <w:jc w:val="left"/>
            </w:pPr>
            <w:r/>
            <w:r>
              <w:rPr>
                <w:rFonts w:ascii="Times New Roman" w:hAnsi="Times New Roman" w:eastAsia="Times New Roman"/>
                <w:b w:val="0"/>
                <w:sz w:val="16"/>
              </w:rPr>
              <w:t>{{ten_hang_muc_2}}</w:t>
            </w:r>
          </w:p>
        </w:tc>
        <w:tc>
          <w:tcPr>
            <w:tcW w:type="dxa" w:w="1317"/>
            <w:vAlign w:val="center"/>
          </w:tcPr>
          <w:p>
            <w:pPr>
              <w:jc w:val="left"/>
            </w:pPr>
            <w:r/>
            <w:r>
              <w:rPr>
                <w:rFonts w:ascii="Times New Roman" w:hAnsi="Times New Roman" w:eastAsia="Times New Roman"/>
                <w:b w:val="0"/>
                <w:sz w:val="16"/>
              </w:rPr>
              <w:t>{{quy_cach_2}}</w:t>
            </w:r>
          </w:p>
        </w:tc>
        <w:tc>
          <w:tcPr>
            <w:tcW w:type="dxa" w:w="1317"/>
            <w:vAlign w:val="center"/>
          </w:tcPr>
          <w:p>
            <w:pPr>
              <w:jc w:val="center"/>
            </w:pPr>
            <w:r/>
            <w:r>
              <w:rPr>
                <w:rFonts w:ascii="Times New Roman" w:hAnsi="Times New Roman" w:eastAsia="Times New Roman"/>
                <w:b w:val="0"/>
                <w:sz w:val="16"/>
              </w:rPr>
              <w:t>{{dvt_2}}</w:t>
            </w:r>
          </w:p>
        </w:tc>
        <w:tc>
          <w:tcPr>
            <w:tcW w:type="dxa" w:w="1317"/>
            <w:vAlign w:val="center"/>
          </w:tcPr>
          <w:p>
            <w:pPr>
              <w:jc w:val="center"/>
            </w:pPr>
            <w:r/>
            <w:r>
              <w:rPr>
                <w:rFonts w:ascii="Times New Roman" w:hAnsi="Times New Roman" w:eastAsia="Times New Roman"/>
                <w:b w:val="0"/>
                <w:sz w:val="16"/>
              </w:rPr>
              <w:t>{{so_luong_2}}</w:t>
            </w:r>
          </w:p>
        </w:tc>
        <w:tc>
          <w:tcPr>
            <w:tcW w:type="dxa" w:w="1317"/>
            <w:vAlign w:val="center"/>
          </w:tcPr>
          <w:p>
            <w:pPr>
              <w:jc w:val="center"/>
            </w:pPr>
            <w:r/>
            <w:r>
              <w:rPr>
                <w:rFonts w:ascii="Times New Roman" w:hAnsi="Times New Roman" w:eastAsia="Times New Roman"/>
                <w:b w:val="0"/>
                <w:sz w:val="16"/>
              </w:rPr>
              <w:t>{{don_gia_2}}</w:t>
            </w:r>
          </w:p>
        </w:tc>
        <w:tc>
          <w:tcPr>
            <w:tcW w:type="dxa" w:w="1317"/>
            <w:vAlign w:val="center"/>
          </w:tcPr>
          <w:p>
            <w:pPr>
              <w:jc w:val="center"/>
            </w:pPr>
            <w:r/>
            <w:r>
              <w:rPr>
                <w:rFonts w:ascii="Times New Roman" w:hAnsi="Times New Roman" w:eastAsia="Times New Roman"/>
                <w:b w:val="0"/>
                <w:sz w:val="16"/>
              </w:rPr>
              <w:t>{{thanh_tien_2}}</w:t>
            </w:r>
          </w:p>
        </w:tc>
        <w:tc>
          <w:tcPr>
            <w:tcW w:type="dxa" w:w="1317"/>
            <w:vAlign w:val="center"/>
          </w:tcPr>
          <w:p>
            <w:pPr>
              <w:jc w:val="left"/>
            </w:pPr>
            <w:r/>
            <w:r>
              <w:rPr>
                <w:rFonts w:ascii="Times New Roman" w:hAnsi="Times New Roman" w:eastAsia="Times New Roman"/>
                <w:b w:val="0"/>
                <w:sz w:val="16"/>
              </w:rPr>
              <w:t>{{ghi_chu_2}}</w:t>
            </w:r>
          </w:p>
        </w:tc>
      </w:tr>
      <w:tr>
        <w:tc>
          <w:tcPr>
            <w:tcW w:type="dxa" w:w="1317"/>
            <w:vAlign w:val="center"/>
          </w:tcPr>
          <w:p>
            <w:pPr>
              <w:jc w:val="center"/>
            </w:pPr>
            <w:r/>
            <w:r>
              <w:rPr>
                <w:rFonts w:ascii="Times New Roman" w:hAnsi="Times New Roman" w:eastAsia="Times New Roman"/>
                <w:b w:val="0"/>
                <w:sz w:val="16"/>
              </w:rPr>
              <w:t>3</w:t>
            </w:r>
          </w:p>
        </w:tc>
        <w:tc>
          <w:tcPr>
            <w:tcW w:type="dxa" w:w="1317"/>
            <w:vAlign w:val="center"/>
          </w:tcPr>
          <w:p>
            <w:pPr>
              <w:jc w:val="left"/>
            </w:pPr>
            <w:r/>
            <w:r>
              <w:rPr>
                <w:rFonts w:ascii="Times New Roman" w:hAnsi="Times New Roman" w:eastAsia="Times New Roman"/>
                <w:b w:val="0"/>
                <w:sz w:val="16"/>
              </w:rPr>
              <w:t>{{ten_hang_muc_3}}</w:t>
            </w:r>
          </w:p>
        </w:tc>
        <w:tc>
          <w:tcPr>
            <w:tcW w:type="dxa" w:w="1317"/>
            <w:vAlign w:val="center"/>
          </w:tcPr>
          <w:p>
            <w:pPr>
              <w:jc w:val="left"/>
            </w:pPr>
            <w:r/>
            <w:r>
              <w:rPr>
                <w:rFonts w:ascii="Times New Roman" w:hAnsi="Times New Roman" w:eastAsia="Times New Roman"/>
                <w:b w:val="0"/>
                <w:sz w:val="16"/>
              </w:rPr>
              <w:t>{{quy_cach_3}}</w:t>
            </w:r>
          </w:p>
        </w:tc>
        <w:tc>
          <w:tcPr>
            <w:tcW w:type="dxa" w:w="1317"/>
            <w:vAlign w:val="center"/>
          </w:tcPr>
          <w:p>
            <w:pPr>
              <w:jc w:val="center"/>
            </w:pPr>
            <w:r/>
            <w:r>
              <w:rPr>
                <w:rFonts w:ascii="Times New Roman" w:hAnsi="Times New Roman" w:eastAsia="Times New Roman"/>
                <w:b w:val="0"/>
                <w:sz w:val="16"/>
              </w:rPr>
              <w:t>{{dvt_3}}</w:t>
            </w:r>
          </w:p>
        </w:tc>
        <w:tc>
          <w:tcPr>
            <w:tcW w:type="dxa" w:w="1317"/>
            <w:vAlign w:val="center"/>
          </w:tcPr>
          <w:p>
            <w:pPr>
              <w:jc w:val="center"/>
            </w:pPr>
            <w:r/>
            <w:r>
              <w:rPr>
                <w:rFonts w:ascii="Times New Roman" w:hAnsi="Times New Roman" w:eastAsia="Times New Roman"/>
                <w:b w:val="0"/>
                <w:sz w:val="16"/>
              </w:rPr>
              <w:t>{{so_luong_3}}</w:t>
            </w:r>
          </w:p>
        </w:tc>
        <w:tc>
          <w:tcPr>
            <w:tcW w:type="dxa" w:w="1317"/>
            <w:vAlign w:val="center"/>
          </w:tcPr>
          <w:p>
            <w:pPr>
              <w:jc w:val="center"/>
            </w:pPr>
            <w:r/>
            <w:r>
              <w:rPr>
                <w:rFonts w:ascii="Times New Roman" w:hAnsi="Times New Roman" w:eastAsia="Times New Roman"/>
                <w:b w:val="0"/>
                <w:sz w:val="16"/>
              </w:rPr>
              <w:t>{{don_gia_3}}</w:t>
            </w:r>
          </w:p>
        </w:tc>
        <w:tc>
          <w:tcPr>
            <w:tcW w:type="dxa" w:w="1317"/>
            <w:vAlign w:val="center"/>
          </w:tcPr>
          <w:p>
            <w:pPr>
              <w:jc w:val="center"/>
            </w:pPr>
            <w:r/>
            <w:r>
              <w:rPr>
                <w:rFonts w:ascii="Times New Roman" w:hAnsi="Times New Roman" w:eastAsia="Times New Roman"/>
                <w:b w:val="0"/>
                <w:sz w:val="16"/>
              </w:rPr>
              <w:t>{{thanh_tien_3}}</w:t>
            </w:r>
          </w:p>
        </w:tc>
        <w:tc>
          <w:tcPr>
            <w:tcW w:type="dxa" w:w="1317"/>
            <w:vAlign w:val="center"/>
          </w:tcPr>
          <w:p>
            <w:pPr>
              <w:jc w:val="left"/>
            </w:pPr>
            <w:r/>
            <w:r>
              <w:rPr>
                <w:rFonts w:ascii="Times New Roman" w:hAnsi="Times New Roman" w:eastAsia="Times New Roman"/>
                <w:b w:val="0"/>
                <w:sz w:val="16"/>
              </w:rPr>
              <w:t>{{ghi_chu_3}}</w:t>
            </w:r>
          </w:p>
        </w:tc>
      </w:tr>
    </w:tbl>
    <w:p>
      <w:pPr>
        <w:spacing w:after="40" w:line="252" w:lineRule="auto"/>
      </w:pPr>
      <w:r>
        <w:rPr>
          <w:rFonts w:ascii="Times New Roman" w:hAnsi="Times New Roman" w:eastAsia="Times New Roman"/>
          <w:b w:val="0"/>
          <w:i w:val="0"/>
          <w:sz w:val="20"/>
        </w:rPr>
      </w:r>
    </w:p>
    <w:p>
      <w:pPr>
        <w:spacing w:after="40" w:line="252" w:lineRule="auto"/>
      </w:pPr>
      <w:r>
        <w:rPr>
          <w:rFonts w:ascii="Times New Roman" w:hAnsi="Times New Roman" w:eastAsia="Times New Roman"/>
          <w:b/>
          <w:i w:val="0"/>
          <w:sz w:val="21"/>
        </w:rPr>
        <w:t>Điều 2. Chất lượng, tiêu chuẩn, hàng đặt riêng và tài liệu kèm theo</w:t>
      </w:r>
    </w:p>
    <w:p>
      <w:pPr>
        <w:spacing w:after="40"/>
        <w:ind w:left="227" w:hanging="142"/>
      </w:pPr>
      <w:r>
        <w:rPr>
          <w:rFonts w:ascii="Times New Roman" w:hAnsi="Times New Roman" w:eastAsia="Times New Roman"/>
          <w:sz w:val="20"/>
        </w:rPr>
        <w:t>1. Hàng hóa do Bên B cung cấp phải mới 100% nếu không có thỏa thuận khác; đúng chủng loại, thông số kỹ thuật, xuất xứ, tiêu chuẩn đã thỏa thuận và phù hợp với mục đích sử dụng đã được Bên A thông báo bằng văn bản.</w:t>
      </w:r>
    </w:p>
    <w:p>
      <w:pPr>
        <w:spacing w:after="40"/>
        <w:ind w:left="227" w:hanging="142"/>
      </w:pPr>
      <w:r>
        <w:rPr>
          <w:rFonts w:ascii="Times New Roman" w:hAnsi="Times New Roman" w:eastAsia="Times New Roman"/>
          <w:sz w:val="20"/>
        </w:rPr>
        <w:t>2. Tài liệu kỹ thuật, phiếu bảo hành, chứng nhận xuất xứ/chất lượng nếu có sẽ được bàn giao cùng hàng hóa hoặc theo thời hạn hai bên thỏa thuận.</w:t>
      </w:r>
    </w:p>
    <w:p>
      <w:pPr>
        <w:spacing w:after="40"/>
        <w:ind w:left="227" w:hanging="142"/>
      </w:pPr>
      <w:r>
        <w:rPr>
          <w:rFonts w:ascii="Times New Roman" w:hAnsi="Times New Roman" w:eastAsia="Times New Roman"/>
          <w:sz w:val="20"/>
        </w:rPr>
        <w:t>3. Đối với hàng đặt riêng, thiết kế riêng, nhập theo yêu cầu hoặc hàng không phổ biến, thông số cuối cùng được xác định theo xác nhận bằng văn bản/email của Bên A trước khi Bên B đặt hàng/giao hàng. Bên A không được từ chối nhận hàng nếu hàng phù hợp xác nhận cuối cùng.</w:t>
      </w:r>
    </w:p>
    <w:p>
      <w:pPr>
        <w:spacing w:before="20" w:after="80"/>
        <w:ind w:left="198"/>
      </w:pPr>
      <w:r>
        <w:rPr>
          <w:rFonts w:ascii="Times New Roman" w:hAnsi="Times New Roman" w:eastAsia="Times New Roman"/>
          <w:i/>
          <w:color w:val="464646"/>
          <w:sz w:val="17"/>
        </w:rPr>
        <w:t>Cơ sở pháp lý tham chiếu nội bộ: Luật Thương mại 2005 về chất lượng hàng hóa, kiểm tra hàng hóa và bảo hành; Bộ luật Dân sự 2015 về mua bán tài sản/hàng hóa.</w:t>
      </w:r>
    </w:p>
    <w:p>
      <w:pPr>
        <w:spacing w:after="40" w:line="252" w:lineRule="auto"/>
      </w:pPr>
      <w:r>
        <w:rPr>
          <w:rFonts w:ascii="Times New Roman" w:hAnsi="Times New Roman" w:eastAsia="Times New Roman"/>
          <w:b/>
          <w:i w:val="0"/>
          <w:sz w:val="21"/>
        </w:rPr>
        <w:t>Điều 3. Giao hàng, chuyển giao rủi ro, bảo lưu quyền sở hữu</w:t>
      </w:r>
    </w:p>
    <w:p>
      <w:pPr>
        <w:spacing w:after="40"/>
        <w:ind w:left="227" w:hanging="142"/>
      </w:pPr>
      <w:r>
        <w:rPr>
          <w:rFonts w:ascii="Times New Roman" w:hAnsi="Times New Roman" w:eastAsia="Times New Roman"/>
          <w:sz w:val="20"/>
        </w:rPr>
        <w:t>1. Địa điểm giao hàng: {{dia_diem_giao_hang}}. Thời gian giao hàng: {{thoi_gian_giao_hang}}. Phương thức giao hàng: {{phuong_thuc_giao_hang}}. Chi phí vận chuyển: {{ben_chiu_phi_van_chuyen}}.</w:t>
      </w:r>
    </w:p>
    <w:p>
      <w:pPr>
        <w:spacing w:after="40"/>
        <w:ind w:left="227" w:hanging="142"/>
      </w:pPr>
      <w:r>
        <w:rPr>
          <w:rFonts w:ascii="Times New Roman" w:hAnsi="Times New Roman" w:eastAsia="Times New Roman"/>
          <w:sz w:val="20"/>
        </w:rPr>
        <w:t>2. Rủi ro đối với hàng hóa được chuyển giao khi hai bên ký biên bản giao nhận, phiếu giao hàng, phiếu xuất kho hoặc khi Bên A/người được Bên A chỉ định nhận hàng hợp lệ theo thỏa thuận.</w:t>
      </w:r>
    </w:p>
    <w:p>
      <w:pPr>
        <w:spacing w:after="40"/>
        <w:ind w:left="227" w:hanging="142"/>
      </w:pPr>
      <w:r>
        <w:rPr>
          <w:rFonts w:ascii="Times New Roman" w:hAnsi="Times New Roman" w:eastAsia="Times New Roman"/>
          <w:sz w:val="20"/>
        </w:rPr>
        <w:t>3. Đối với phần hàng hóa chưa thanh toán đầy đủ, Bên B có quyền bảo lưu/giữ quyền sở hữu hoặc giữ hàng hóa/chứng từ liên quan trong phạm vi pháp luật và thỏa thuận cho phép, cho đến khi Bên A hoàn thành nghĩa vụ thanh toán.</w:t>
      </w:r>
    </w:p>
    <w:p>
      <w:pPr>
        <w:spacing w:after="40"/>
        <w:ind w:left="227" w:hanging="142"/>
      </w:pPr>
      <w:r>
        <w:rPr>
          <w:rFonts w:ascii="Times New Roman" w:hAnsi="Times New Roman" w:eastAsia="Times New Roman"/>
          <w:sz w:val="20"/>
        </w:rPr>
        <w:t>4. Nếu Bên A chậm nhận hàng hoặc không bố trí điều kiện nhận hàng đúng thời hạn, Bên A chịu rủi ro và chi phí lưu kho, bảo quản, vận chuyển phát sinh hợp lý từ thời điểm Bên B thông báo hàng sẵn sàng giao.</w:t>
      </w:r>
    </w:p>
    <w:p>
      <w:pPr>
        <w:spacing w:before="20" w:after="80"/>
        <w:ind w:left="198"/>
      </w:pPr>
      <w:r>
        <w:rPr>
          <w:rFonts w:ascii="Times New Roman" w:hAnsi="Times New Roman" w:eastAsia="Times New Roman"/>
          <w:i/>
          <w:color w:val="464646"/>
          <w:sz w:val="17"/>
        </w:rPr>
        <w:t>Cơ sở pháp lý tham chiếu nội bộ: Luật Thương mại 2005 về giao hàng, nhận hàng, chuyển rủi ro và nghĩa vụ thanh toán; Bộ luật Dân sự 2015 về quyền sở hữu, nghĩa vụ giao nhận và thỏa thuận bảo lưu nếu có.</w:t>
      </w:r>
    </w:p>
    <w:p>
      <w:pPr>
        <w:spacing w:after="40" w:line="252" w:lineRule="auto"/>
      </w:pPr>
      <w:r>
        <w:rPr>
          <w:rFonts w:ascii="Times New Roman" w:hAnsi="Times New Roman" w:eastAsia="Times New Roman"/>
          <w:b/>
          <w:i w:val="0"/>
          <w:sz w:val="21"/>
        </w:rPr>
        <w:t>Điều 4. Kiểm tra, nghiệm thu và từ chối nhận hàng</w:t>
      </w:r>
    </w:p>
    <w:p>
      <w:pPr>
        <w:spacing w:after="40"/>
        <w:ind w:left="227" w:hanging="142"/>
      </w:pPr>
      <w:r>
        <w:rPr>
          <w:rFonts w:ascii="Times New Roman" w:hAnsi="Times New Roman" w:eastAsia="Times New Roman"/>
          <w:sz w:val="20"/>
        </w:rPr>
        <w:t>1. Bên A kiểm tra số lượng, chủng loại, tình trạng bên ngoài của hàng hóa ngay khi nhận hàng.</w:t>
      </w:r>
    </w:p>
    <w:p>
      <w:pPr>
        <w:spacing w:after="40"/>
        <w:ind w:left="227" w:hanging="142"/>
      </w:pPr>
      <w:r>
        <w:rPr>
          <w:rFonts w:ascii="Times New Roman" w:hAnsi="Times New Roman" w:eastAsia="Times New Roman"/>
          <w:sz w:val="20"/>
        </w:rPr>
        <w:t>2. Nếu phát hiện hàng hóa không đúng thỏa thuận, Bên A phải thông báo bằng văn bản/email cho Bên B trong thời hạn 03 ngày làm việc kể từ khi nhận hàng. Quá thời hạn này mà không có phản hồi, hàng hóa được xem là đã được chấp nhận, trừ lỗi ẩn hoặc lỗi kỹ thuật thuộc phạm vi bảo hành.</w:t>
      </w:r>
    </w:p>
    <w:p>
      <w:pPr>
        <w:spacing w:after="40"/>
        <w:ind w:left="227" w:hanging="142"/>
      </w:pPr>
      <w:r>
        <w:rPr>
          <w:rFonts w:ascii="Times New Roman" w:hAnsi="Times New Roman" w:eastAsia="Times New Roman"/>
          <w:sz w:val="20"/>
        </w:rPr>
        <w:t>3. Từ chối nhận hàng phải nêu rõ lý do cụ thể và chứng cứ hợp lý. Từ chối nhận hàng không có lý do hợp lệ được xem là vi phạm nghĩa vụ nhận hàng và thanh toán.</w:t>
      </w:r>
    </w:p>
    <w:p>
      <w:pPr>
        <w:spacing w:before="20" w:after="80"/>
        <w:ind w:left="198"/>
      </w:pPr>
      <w:r>
        <w:rPr>
          <w:rFonts w:ascii="Times New Roman" w:hAnsi="Times New Roman" w:eastAsia="Times New Roman"/>
          <w:i/>
          <w:color w:val="464646"/>
          <w:sz w:val="17"/>
        </w:rPr>
        <w:t>Cơ sở pháp lý tham chiếu nội bộ: Luật Thương mại 2005 về kiểm tra hàng hóa và nghĩa vụ thông báo; Bộ luật Dân sự 2015 về chấp nhận giao dịch và nghĩa vụ hợp tác.</w:t>
      </w:r>
    </w:p>
    <w:p>
      <w:pPr>
        <w:spacing w:after="40" w:line="252" w:lineRule="auto"/>
      </w:pPr>
      <w:r>
        <w:rPr>
          <w:rFonts w:ascii="Times New Roman" w:hAnsi="Times New Roman" w:eastAsia="Times New Roman"/>
          <w:b/>
          <w:i w:val="0"/>
          <w:sz w:val="21"/>
        </w:rPr>
        <w:t>Điều 5. Giá cả, VAT, điều chỉnh giá và phát sinh</w:t>
      </w:r>
    </w:p>
    <w:p>
      <w:pPr>
        <w:spacing w:after="40"/>
        <w:ind w:left="227" w:hanging="142"/>
      </w:pPr>
      <w:r>
        <w:rPr>
          <w:rFonts w:ascii="Times New Roman" w:hAnsi="Times New Roman" w:eastAsia="Times New Roman"/>
          <w:sz w:val="20"/>
        </w:rPr>
        <w:t>1. Tổng giá trị hàng hóa: {{tong_truoc_vat}} VNĐ; VAT: {{vat_rate}}%; Tổng thanh toán: {{tong_thanh_toan}} VNĐ.</w:t>
      </w:r>
    </w:p>
    <w:p>
      <w:pPr>
        <w:spacing w:after="40"/>
        <w:ind w:left="227" w:hanging="142"/>
      </w:pPr>
      <w:r>
        <w:rPr>
          <w:rFonts w:ascii="Times New Roman" w:hAnsi="Times New Roman" w:eastAsia="Times New Roman"/>
          <w:sz w:val="20"/>
        </w:rPr>
        <w:t>2. Đơn giá được xác định tại thời điểm ký báo giá/đơn hàng/phụ lục. Giá có thể đã bao gồm hoặc chưa bao gồm VAT theo nội dung thể hiện trên chứng từ.</w:t>
      </w:r>
    </w:p>
    <w:p>
      <w:pPr>
        <w:spacing w:after="40"/>
        <w:ind w:left="227" w:hanging="142"/>
      </w:pPr>
      <w:r>
        <w:rPr>
          <w:rFonts w:ascii="Times New Roman" w:hAnsi="Times New Roman" w:eastAsia="Times New Roman"/>
          <w:sz w:val="20"/>
        </w:rPr>
        <w:t>3. Nếu có biến động lớn về thị trường, chi phí nhập hàng, chi phí vận chuyển, tỷ giá, chính sách thuế/phí hoặc yếu tố khách quan làm thay đổi giá thành, Bên B có quyền đề xuất điều chỉnh giá trước khi giao hàng; điều chỉnh có hiệu lực khi Bên A chấp thuận bằng văn bản/email.</w:t>
      </w:r>
    </w:p>
    <w:p>
      <w:pPr>
        <w:spacing w:after="40"/>
        <w:ind w:left="227" w:hanging="142"/>
      </w:pPr>
      <w:r>
        <w:rPr>
          <w:rFonts w:ascii="Times New Roman" w:hAnsi="Times New Roman" w:eastAsia="Times New Roman"/>
          <w:sz w:val="20"/>
        </w:rPr>
        <w:t>4. Các chi phí phát sinh ngoài phạm vi báo giá/hợp đồng phải được xác nhận trước khi thực hiện, trừ trường hợp khẩn cấp cần xử lý để hạn chế thiệt hại hoặc bảo đảm an toàn.</w:t>
      </w:r>
    </w:p>
    <w:p>
      <w:pPr>
        <w:spacing w:before="20" w:after="80"/>
        <w:ind w:left="198"/>
      </w:pPr>
      <w:r>
        <w:rPr>
          <w:rFonts w:ascii="Times New Roman" w:hAnsi="Times New Roman" w:eastAsia="Times New Roman"/>
          <w:i/>
          <w:color w:val="464646"/>
          <w:sz w:val="17"/>
        </w:rPr>
        <w:t>Cơ sở pháp lý tham chiếu nội bộ: Luật Thương mại 2005 về giá, nghĩa vụ thanh toán; quy định pháp luật hiện hành về VAT, hóa đơn và chứng từ tại thời điểm phát sinh.</w:t>
      </w:r>
    </w:p>
    <w:p>
      <w:pPr>
        <w:spacing w:after="40" w:line="252" w:lineRule="auto"/>
      </w:pPr>
      <w:r>
        <w:rPr>
          <w:rFonts w:ascii="Times New Roman" w:hAnsi="Times New Roman" w:eastAsia="Times New Roman"/>
          <w:b/>
          <w:i w:val="0"/>
          <w:sz w:val="21"/>
        </w:rPr>
        <w:t>Điều 6. Thanh toán, lãi chậm trả và quyền tạm ngừng giao hàng</w:t>
      </w:r>
    </w:p>
    <w:p>
      <w:pPr>
        <w:spacing w:after="40"/>
        <w:ind w:left="227" w:hanging="142"/>
      </w:pPr>
      <w:r>
        <w:rPr>
          <w:rFonts w:ascii="Times New Roman" w:hAnsi="Times New Roman" w:eastAsia="Times New Roman"/>
          <w:sz w:val="20"/>
        </w:rPr>
        <w:t>1. Bên A thanh toán bằng chuyển khoản, tiền mặt hoặc hình thức khác được hai bên xác nhận. Tiến độ thanh toán: Đợt 1 {{dot_1_pct}}% trong {{dot_1_days}} ngày; Đợt 2 {{dot_2_pct}}% trong {{dot_2_days}} ngày; Đợt cuối {{dot_cuoi_pct}}% trong {{dot_cuoi_days}} ngày kể từ khi nhận đủ hồ sơ thanh toán hợp lệ.</w:t>
      </w:r>
    </w:p>
    <w:p>
      <w:pPr>
        <w:spacing w:after="40"/>
        <w:ind w:left="227" w:hanging="142"/>
      </w:pPr>
      <w:r>
        <w:rPr>
          <w:rFonts w:ascii="Times New Roman" w:hAnsi="Times New Roman" w:eastAsia="Times New Roman"/>
          <w:sz w:val="20"/>
        </w:rPr>
        <w:t>2. Nếu Bên A chậm thanh toán quá 07 ngày kể từ ngày đến hạn, Bên B có quyền yêu cầu lãi chậm trả 1,5%/tháng trên số tiền chậm trả, tính từ ngày đến hạn đến ngày thanh toán đầy đủ; nếu pháp luật quy định mức tối đa thấp hơn thì tự động áp dụng mức tối đa được phép.</w:t>
      </w:r>
    </w:p>
    <w:p>
      <w:pPr>
        <w:spacing w:after="40"/>
        <w:ind w:left="227" w:hanging="142"/>
      </w:pPr>
      <w:r>
        <w:rPr>
          <w:rFonts w:ascii="Times New Roman" w:hAnsi="Times New Roman" w:eastAsia="Times New Roman"/>
          <w:sz w:val="20"/>
        </w:rPr>
        <w:t>3. Nếu Bên A chậm thanh toán quá 05 ngày làm việc, Bên B có quyền gửi thông báo khắc phục trong 05 ngày làm việc. Nếu hết thời hạn này mà Bên A chưa thanh toán, Bên B có quyền tạm ngừng giao hàng, dừng giao các đợt tiếp theo, giữ hàng/chứng từ trong phạm vi pháp luật cho phép và yêu cầu bồi thường chi phí phát sinh hợp lý.</w:t>
      </w:r>
    </w:p>
    <w:p>
      <w:pPr>
        <w:spacing w:after="40"/>
        <w:ind w:left="227" w:hanging="142"/>
      </w:pPr>
      <w:r>
        <w:rPr>
          <w:rFonts w:ascii="Times New Roman" w:hAnsi="Times New Roman" w:eastAsia="Times New Roman"/>
          <w:sz w:val="20"/>
        </w:rPr>
        <w:t>4. Việc Bên B tạm ngừng theo Điều này không bị xem là vi phạm hợp đồng và không làm mất quyền yêu cầu phạt vi phạm/bồi thường thiệt hại.</w:t>
      </w:r>
    </w:p>
    <w:p>
      <w:pPr>
        <w:spacing w:before="20" w:after="80"/>
        <w:ind w:left="198"/>
      </w:pPr>
      <w:r>
        <w:rPr>
          <w:rFonts w:ascii="Times New Roman" w:hAnsi="Times New Roman" w:eastAsia="Times New Roman"/>
          <w:i/>
          <w:color w:val="464646"/>
          <w:sz w:val="17"/>
        </w:rPr>
        <w:t>Cơ sở pháp lý tham chiếu nội bộ: Luật Thương mại 2005: Điều 306, 308-312; Bộ luật Dân sự 2015: Điều 357, 411, 423, 424, 428, 468; Nghị quyết 01/2019/NQ-HĐTP: Điều 11.</w:t>
      </w:r>
    </w:p>
    <w:p>
      <w:pPr>
        <w:spacing w:after="40" w:line="252" w:lineRule="auto"/>
      </w:pPr>
      <w:r>
        <w:rPr>
          <w:rFonts w:ascii="Times New Roman" w:hAnsi="Times New Roman" w:eastAsia="Times New Roman"/>
          <w:b/>
          <w:i w:val="0"/>
          <w:sz w:val="21"/>
        </w:rPr>
        <w:t>Điều 7. Bảo hành và loại trừ bảo hành</w:t>
      </w:r>
    </w:p>
    <w:p>
      <w:pPr>
        <w:spacing w:after="40"/>
        <w:ind w:left="227" w:hanging="142"/>
      </w:pPr>
      <w:r>
        <w:rPr>
          <w:rFonts w:ascii="Times New Roman" w:hAnsi="Times New Roman" w:eastAsia="Times New Roman"/>
          <w:sz w:val="20"/>
        </w:rPr>
        <w:t>1. Thời hạn bảo hành hàng hóa là {{thoi_han_bao_hanh}} tháng hoặc theo phiếu bảo hành/chính sách nhà sản xuất/phụ lục, tùy nội dung nào được hai bên xác nhận.</w:t>
      </w:r>
    </w:p>
    <w:p>
      <w:pPr>
        <w:spacing w:after="40"/>
        <w:ind w:left="227" w:hanging="142"/>
      </w:pPr>
      <w:r>
        <w:rPr>
          <w:rFonts w:ascii="Times New Roman" w:hAnsi="Times New Roman" w:eastAsia="Times New Roman"/>
          <w:sz w:val="20"/>
        </w:rPr>
        <w:t>2. Bên B bảo hành đối với lỗi kỹ thuật, lỗi nhà sản xuất hoặc lỗi thuộc trách nhiệm trực tiếp của Bên B trong phạm vi cam kết.</w:t>
      </w:r>
    </w:p>
    <w:p>
      <w:pPr>
        <w:spacing w:after="40"/>
        <w:ind w:left="227" w:hanging="142"/>
      </w:pPr>
      <w:r>
        <w:rPr>
          <w:rFonts w:ascii="Times New Roman" w:hAnsi="Times New Roman" w:eastAsia="Times New Roman"/>
          <w:sz w:val="20"/>
        </w:rPr>
        <w:t>3. Bên B không bảo hành đối với lỗi do sử dụng sai hướng dẫn, tự ý sửa chữa/tháo lắp, tác động cơ học/hóa chất, cháy nổ, ngập nước, thiên tai, sự cố điện vượt thông số kỹ thuật, hao mòn tự nhiên hoặc lỗi do bên thứ ba không được Bên B/nhà sản xuất ủy quyền.</w:t>
      </w:r>
    </w:p>
    <w:p>
      <w:pPr>
        <w:spacing w:after="40"/>
        <w:ind w:left="227" w:hanging="142"/>
      </w:pPr>
      <w:r>
        <w:rPr>
          <w:rFonts w:ascii="Times New Roman" w:hAnsi="Times New Roman" w:eastAsia="Times New Roman"/>
          <w:sz w:val="20"/>
        </w:rPr>
        <w:t>4. Bên A phải thông báo yêu cầu bảo hành trong vòng 07 ngày kể từ khi phát hiện lỗi và tạo điều kiện để Bên B/nhà sản xuất kiểm tra hiện trạng. Nếu Bên A tự ý can thiệp trước khi Bên B kiểm tra, Bên B có quyền từ chối bảo hành đối với phần bị can thiệp.</w:t>
      </w:r>
    </w:p>
    <w:p>
      <w:pPr>
        <w:spacing w:before="20" w:after="80"/>
        <w:ind w:left="198"/>
      </w:pPr>
      <w:r>
        <w:rPr>
          <w:rFonts w:ascii="Times New Roman" w:hAnsi="Times New Roman" w:eastAsia="Times New Roman"/>
          <w:i/>
          <w:color w:val="464646"/>
          <w:sz w:val="17"/>
        </w:rPr>
        <w:t>Cơ sở pháp lý tham chiếu nội bộ: Luật Thương mại 2005: Điều 49 và quy định liên quan đến bảo hành; Bộ luật Dân sự 2015 về lỗi, trách nhiệm và miễn trách nhiệm khi lỗi không thuộc bên bán.</w:t>
      </w:r>
    </w:p>
    <w:p>
      <w:pPr>
        <w:spacing w:after="40" w:line="252" w:lineRule="auto"/>
      </w:pPr>
      <w:r>
        <w:rPr>
          <w:rFonts w:ascii="Times New Roman" w:hAnsi="Times New Roman" w:eastAsia="Times New Roman"/>
          <w:b/>
          <w:i w:val="0"/>
          <w:sz w:val="21"/>
        </w:rPr>
        <w:t>Điều 8. Phạt vi phạm, bồi thường và chấm dứt</w:t>
      </w:r>
    </w:p>
    <w:p>
      <w:pPr>
        <w:spacing w:after="40"/>
        <w:ind w:left="227" w:hanging="142"/>
      </w:pPr>
      <w:r>
        <w:rPr>
          <w:rFonts w:ascii="Times New Roman" w:hAnsi="Times New Roman" w:eastAsia="Times New Roman"/>
          <w:sz w:val="20"/>
        </w:rPr>
        <w:t>1. Bên A vi phạm nghĩa vụ thanh toán, nhận hàng, cung cấp thông tin, phối hợp giao nhận hoặc vi phạm nghĩa vụ khác phải chịu phạt 8% giá trị phần nghĩa vụ bị vi phạm hoặc phần hàng hóa bị ảnh hưởng trực tiếp.</w:t>
      </w:r>
    </w:p>
    <w:p>
      <w:pPr>
        <w:spacing w:after="40"/>
        <w:ind w:left="227" w:hanging="142"/>
      </w:pPr>
      <w:r>
        <w:rPr>
          <w:rFonts w:ascii="Times New Roman" w:hAnsi="Times New Roman" w:eastAsia="Times New Roman"/>
          <w:sz w:val="20"/>
        </w:rPr>
        <w:t>2. Bên B vi phạm nghĩa vụ giao hàng đúng chủng loại/số lượng/chất lượng do lỗi trực tiếp của Bên B phải chịu phạt 5% giá trị phần nghĩa vụ bị vi phạm hoặc phần hàng hóa bị ảnh hưởng trực tiếp.</w:t>
      </w:r>
    </w:p>
    <w:p>
      <w:pPr>
        <w:spacing w:after="40"/>
        <w:ind w:left="227" w:hanging="142"/>
      </w:pPr>
      <w:r>
        <w:rPr>
          <w:rFonts w:ascii="Times New Roman" w:hAnsi="Times New Roman" w:eastAsia="Times New Roman"/>
          <w:sz w:val="20"/>
        </w:rPr>
        <w:t>3. Các mức phạt áp dụng trong phạm vi pháp luật cho phép; phạt vi phạm không loại trừ quyền yêu cầu bồi thường thiệt hại thực tế, trực tiếp, hợp lý.</w:t>
      </w:r>
    </w:p>
    <w:p>
      <w:pPr>
        <w:spacing w:after="40"/>
        <w:ind w:left="227" w:hanging="142"/>
      </w:pPr>
      <w:r>
        <w:rPr>
          <w:rFonts w:ascii="Times New Roman" w:hAnsi="Times New Roman" w:eastAsia="Times New Roman"/>
          <w:sz w:val="20"/>
        </w:rPr>
        <w:t>4. Một bên có quyền chấm dứt hợp đồng nếu bên kia vi phạm nghiêm trọng và không khắc phục trong vòng 15 ngày làm việc kể từ ngày nhận thông báo khắc phục. Nghĩa vụ thanh toán, bảo hành, bảo mật, phạt vi phạm và bồi thường đã phát sinh vẫn tiếp tục có hiệu lực.</w:t>
      </w:r>
    </w:p>
    <w:p>
      <w:pPr>
        <w:spacing w:before="20" w:after="80"/>
        <w:ind w:left="198"/>
      </w:pPr>
      <w:r>
        <w:rPr>
          <w:rFonts w:ascii="Times New Roman" w:hAnsi="Times New Roman" w:eastAsia="Times New Roman"/>
          <w:i/>
          <w:color w:val="464646"/>
          <w:sz w:val="17"/>
        </w:rPr>
        <w:t>Cơ sở pháp lý tham chiếu nội bộ: Luật Thương mại 2005: Điều 300, 301, 302, 303, 307, 308-312; Bộ luật Dân sự 2015: Điều 418, 419, 423, 424, 428.</w:t>
      </w:r>
    </w:p>
    <w:p>
      <w:pPr>
        <w:spacing w:after="40" w:line="252" w:lineRule="auto"/>
      </w:pPr>
      <w:r>
        <w:rPr>
          <w:rFonts w:ascii="Times New Roman" w:hAnsi="Times New Roman" w:eastAsia="Times New Roman"/>
          <w:b/>
          <w:i w:val="0"/>
          <w:sz w:val="21"/>
        </w:rPr>
        <w:t>Điều 9. Thuế, hóa đơn, bảo mật, điện tử, tranh chấp và hiệu lực</w:t>
      </w:r>
    </w:p>
    <w:p>
      <w:pPr>
        <w:spacing w:after="40"/>
        <w:ind w:left="227" w:hanging="142"/>
      </w:pPr>
      <w:r>
        <w:rPr>
          <w:rFonts w:ascii="Times New Roman" w:hAnsi="Times New Roman" w:eastAsia="Times New Roman"/>
          <w:sz w:val="20"/>
        </w:rPr>
        <w:t>1. Thuế VAT, hóa đơn, chứng từ điện tử và nghĩa vụ tài chính thực hiện theo quy định pháp luật hiện hành. Bên A chịu trách nhiệm cung cấp thông tin xuất hóa đơn chính xác; chi phí điều chỉnh/hủy/thay thế hóa đơn do thông tin sai từ Bên A do Bên A chịu.</w:t>
      </w:r>
    </w:p>
    <w:p>
      <w:pPr>
        <w:spacing w:after="40"/>
        <w:ind w:left="227" w:hanging="142"/>
      </w:pPr>
      <w:r>
        <w:rPr>
          <w:rFonts w:ascii="Times New Roman" w:hAnsi="Times New Roman" w:eastAsia="Times New Roman"/>
          <w:sz w:val="20"/>
        </w:rPr>
        <w:t>2. Các bên bảo mật thông tin giá, khách hàng, hồ sơ giao dịch, tài liệu kỹ thuật trong thời hạn 24 tháng sau khi hợp đồng chấm dứt; vi phạm bảo mật bị xử lý theo hợp đồng và pháp luật.</w:t>
      </w:r>
    </w:p>
    <w:p>
      <w:pPr>
        <w:spacing w:after="40"/>
        <w:ind w:left="227" w:hanging="142"/>
      </w:pPr>
      <w:r>
        <w:rPr>
          <w:rFonts w:ascii="Times New Roman" w:hAnsi="Times New Roman" w:eastAsia="Times New Roman"/>
          <w:sz w:val="20"/>
        </w:rPr>
        <w:t>3. Trao đổi qua email/tin nhắn/hệ thống quản lý được xem là căn cứ tham chiếu nếu xác định được người gửi, thời điểm gửi, nội dung và được lưu trữ tối thiểu 03 năm sau khi hợp đồng chấm dứt.</w:t>
      </w:r>
    </w:p>
    <w:p>
      <w:pPr>
        <w:spacing w:after="40"/>
        <w:ind w:left="227" w:hanging="142"/>
      </w:pPr>
      <w:r>
        <w:rPr>
          <w:rFonts w:ascii="Times New Roman" w:hAnsi="Times New Roman" w:eastAsia="Times New Roman"/>
          <w:sz w:val="20"/>
        </w:rPr>
        <w:t>4. Tranh chấp ưu tiên thương lượng trong 30 ngày; nếu không giải quyết được thì đưa ra Tòa án có thẩm quyền theo quy định pháp luật.</w:t>
      </w:r>
    </w:p>
    <w:p>
      <w:pPr>
        <w:spacing w:after="40"/>
        <w:ind w:left="227" w:hanging="142"/>
      </w:pPr>
      <w:r>
        <w:rPr>
          <w:rFonts w:ascii="Times New Roman" w:hAnsi="Times New Roman" w:eastAsia="Times New Roman"/>
          <w:sz w:val="20"/>
        </w:rPr>
        <w:t>5. Hợp đồng có hiệu lực từ ngày ký, lập thành 02 bản, mỗi bên giữ 01 bản có giá trị pháp lý như nhau.</w:t>
      </w:r>
    </w:p>
    <w:p>
      <w:pPr>
        <w:spacing w:before="20" w:after="80"/>
        <w:ind w:left="198"/>
      </w:pPr>
      <w:r>
        <w:rPr>
          <w:rFonts w:ascii="Times New Roman" w:hAnsi="Times New Roman" w:eastAsia="Times New Roman"/>
          <w:i/>
          <w:color w:val="464646"/>
          <w:sz w:val="17"/>
        </w:rPr>
        <w:t>Cơ sở pháp lý tham chiếu nội bộ: Luật Giao dịch điện tử 2023: Điều 8, 11, 23; Bộ luật Tố tụng dân sự 2015: Điều 93; quy định thuế/hóa đơn/chứng từ hiện hành.</w:t>
      </w:r>
    </w:p>
    <w:tbl>
      <w:tblPr>
        <w:tblStyle w:val="TableGrid"/>
        <w:tblW w:type="auto" w:w="0"/>
        <w:jc w:val="center"/>
        <w:tblLook w:firstColumn="1" w:firstRow="1" w:lastColumn="0" w:lastRow="0" w:noHBand="0" w:noVBand="1" w:val="04A0"/>
      </w:tblPr>
      <w:tblGrid>
        <w:gridCol w:w="5270"/>
        <w:gridCol w:w="5270"/>
      </w:tblGrid>
      <w:tr>
        <w:tc>
          <w:tcPr>
            <w:tcW w:type="dxa" w:w="5270"/>
            <w:vAlign w:val="center"/>
          </w:tcPr>
          <w:p>
            <w:pPr>
              <w:jc w:val="center"/>
            </w:pPr>
            <w:r/>
            <w:r>
              <w:rPr>
                <w:rFonts w:ascii="Times New Roman" w:hAnsi="Times New Roman" w:eastAsia="Times New Roman"/>
                <w:b/>
                <w:sz w:val="20"/>
              </w:rPr>
              <w:t>ĐẠI DIỆN BÊN A</w:t>
              <w:br/>
              <w:t>(Ký, ghi rõ họ tên, chức vụ, đóng dấu)</w:t>
            </w:r>
          </w:p>
        </w:tc>
        <w:tc>
          <w:tcPr>
            <w:tcW w:type="dxa" w:w="5270"/>
            <w:vAlign w:val="center"/>
          </w:tcPr>
          <w:p>
            <w:pPr>
              <w:jc w:val="center"/>
            </w:pPr>
            <w:r/>
            <w:r>
              <w:rPr>
                <w:rFonts w:ascii="Times New Roman" w:hAnsi="Times New Roman" w:eastAsia="Times New Roman"/>
                <w:b/>
                <w:sz w:val="20"/>
              </w:rPr>
              <w:t>ĐẠI DIỆN BÊN B</w:t>
              <w:br/>
              <w:t>(Ký, ghi rõ họ tên, chức vụ, đóng dấu)</w:t>
            </w:r>
          </w:p>
        </w:tc>
      </w:tr>
      <w:tr>
        <w:tc>
          <w:tcPr>
            <w:tcW w:type="dxa" w:w="5270"/>
            <w:vAlign w:val="center"/>
          </w:tcPr>
          <w:p>
            <w:pPr>
              <w:jc w:val="center"/>
            </w:pPr>
            <w:r/>
            <w:r>
              <w:rPr>
                <w:rFonts w:ascii="Times New Roman" w:hAnsi="Times New Roman" w:eastAsia="Times New Roman"/>
                <w:b w:val="0"/>
                <w:sz w:val="20"/>
              </w:rPr>
              <w:br/>
              <w:br/>
              <w:br/>
              <w:br/>
              <w:t>{{ben_a_nguoi_ky}}</w:t>
            </w:r>
          </w:p>
        </w:tc>
        <w:tc>
          <w:tcPr>
            <w:tcW w:type="dxa" w:w="5270"/>
            <w:vAlign w:val="center"/>
          </w:tcPr>
          <w:p>
            <w:pPr>
              <w:jc w:val="center"/>
            </w:pPr>
            <w:r/>
            <w:r>
              <w:rPr>
                <w:rFonts w:ascii="Times New Roman" w:hAnsi="Times New Roman" w:eastAsia="Times New Roman"/>
                <w:b w:val="0"/>
                <w:sz w:val="20"/>
              </w:rPr>
              <w:br/>
              <w:br/>
              <w:br/>
              <w:br/>
              <w:t>{{ben_b_nguoi_ky}}</w:t>
            </w:r>
          </w:p>
        </w:tc>
      </w:tr>
    </w:tbl>
    <w:p>
      <w:r>
        <w:br w:type="page"/>
      </w:r>
    </w:p>
    <w:p>
      <w:pPr>
        <w:spacing w:after="40" w:line="252" w:lineRule="auto"/>
        <w:jc w:val="center"/>
      </w:pPr>
      <w:r>
        <w:rPr>
          <w:rFonts w:ascii="Times New Roman" w:hAnsi="Times New Roman" w:eastAsia="Times New Roman"/>
          <w:b/>
          <w:i w:val="0"/>
          <w:sz w:val="24"/>
        </w:rPr>
        <w:t>Phụ lục - Bảng căn cứ pháp lý tham chiếu nội bộ</w:t>
      </w:r>
    </w:p>
    <w:p>
      <w:pPr>
        <w:spacing w:after="40" w:line="252" w:lineRule="auto"/>
      </w:pPr>
      <w:r>
        <w:rPr>
          <w:rFonts w:ascii="Times New Roman" w:hAnsi="Times New Roman" w:eastAsia="Times New Roman"/>
          <w:b w:val="0"/>
          <w:i/>
          <w:sz w:val="18"/>
        </w:rPr>
        <w:t>Bảng này dùng để LEXcentra/kế toán/luật sư rà soát nội bộ. Khi ký hợp đồng thực tế, cần kiểm tra phiên bản pháp luật còn hiệu lực và điều chỉnh theo từng giao dịch.</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shd w:fill="D9EAF7"/>
          </w:tcPr>
          <w:p>
            <w:pPr>
              <w:jc w:val="center"/>
            </w:pPr>
            <w:r/>
            <w:r>
              <w:rPr>
                <w:rFonts w:ascii="Times New Roman" w:hAnsi="Times New Roman" w:eastAsia="Times New Roman"/>
                <w:b/>
                <w:sz w:val="17"/>
              </w:rPr>
              <w:t>Nhóm điều khoản</w:t>
            </w:r>
          </w:p>
        </w:tc>
        <w:tc>
          <w:tcPr>
            <w:tcW w:type="dxa" w:w="3513"/>
            <w:vAlign w:val="center"/>
            <w:shd w:fill="D9EAF7"/>
          </w:tcPr>
          <w:p>
            <w:pPr>
              <w:jc w:val="center"/>
            </w:pPr>
            <w:r/>
            <w:r>
              <w:rPr>
                <w:rFonts w:ascii="Times New Roman" w:hAnsi="Times New Roman" w:eastAsia="Times New Roman"/>
                <w:b/>
                <w:sz w:val="17"/>
              </w:rPr>
              <w:t>Căn cứ pháp lý tham chiếu</w:t>
            </w:r>
          </w:p>
        </w:tc>
        <w:tc>
          <w:tcPr>
            <w:tcW w:type="dxa" w:w="3513"/>
            <w:vAlign w:val="center"/>
            <w:shd w:fill="D9EAF7"/>
          </w:tcPr>
          <w:p>
            <w:pPr>
              <w:jc w:val="center"/>
            </w:pPr>
            <w:r/>
            <w:r>
              <w:rPr>
                <w:rFonts w:ascii="Times New Roman" w:hAnsi="Times New Roman" w:eastAsia="Times New Roman"/>
                <w:b/>
                <w:sz w:val="17"/>
              </w:rPr>
              <w:t>Mục đích kiểm soát</w:t>
            </w:r>
          </w:p>
        </w:tc>
      </w:tr>
      <w:tr>
        <w:tc>
          <w:tcPr>
            <w:tcW w:type="dxa" w:w="3513"/>
            <w:vAlign w:val="center"/>
          </w:tcPr>
          <w:p>
            <w:pPr>
              <w:jc w:val="left"/>
            </w:pPr>
            <w:r/>
            <w:r>
              <w:rPr>
                <w:rFonts w:ascii="Times New Roman" w:hAnsi="Times New Roman" w:eastAsia="Times New Roman"/>
                <w:b w:val="0"/>
                <w:sz w:val="15"/>
              </w:rPr>
              <w:t>Giao kết, hiệu lực và giải thích hợp đồng</w:t>
            </w:r>
          </w:p>
        </w:tc>
        <w:tc>
          <w:tcPr>
            <w:tcW w:type="dxa" w:w="3513"/>
            <w:vAlign w:val="center"/>
          </w:tcPr>
          <w:p>
            <w:pPr>
              <w:jc w:val="left"/>
            </w:pPr>
            <w:r/>
            <w:r>
              <w:rPr>
                <w:rFonts w:ascii="Times New Roman" w:hAnsi="Times New Roman" w:eastAsia="Times New Roman"/>
                <w:b w:val="0"/>
                <w:sz w:val="15"/>
              </w:rPr>
              <w:t>Bộ luật Dân sự 2015: Điều 385, 398, 400, 401, 403, 404, 405, 406; Luật Thương mại 2005 về giao kết/thực hiện hợp đồng thương mại.</w:t>
            </w:r>
          </w:p>
        </w:tc>
        <w:tc>
          <w:tcPr>
            <w:tcW w:type="dxa" w:w="3513"/>
            <w:vAlign w:val="center"/>
          </w:tcPr>
          <w:p>
            <w:pPr>
              <w:jc w:val="left"/>
            </w:pPr>
            <w:r/>
            <w:r>
              <w:rPr>
                <w:rFonts w:ascii="Times New Roman" w:hAnsi="Times New Roman" w:eastAsia="Times New Roman"/>
                <w:b w:val="0"/>
                <w:sz w:val="15"/>
              </w:rPr>
              <w:t>Xác định tài liệu có hiệu lực, thứ tự ưu tiên và nguyên tắc giải thích.</w:t>
            </w:r>
          </w:p>
        </w:tc>
      </w:tr>
      <w:tr>
        <w:tc>
          <w:tcPr>
            <w:tcW w:type="dxa" w:w="3513"/>
            <w:vAlign w:val="center"/>
          </w:tcPr>
          <w:p>
            <w:pPr>
              <w:jc w:val="left"/>
            </w:pPr>
            <w:r/>
            <w:r>
              <w:rPr>
                <w:rFonts w:ascii="Times New Roman" w:hAnsi="Times New Roman" w:eastAsia="Times New Roman"/>
                <w:b w:val="0"/>
                <w:sz w:val="15"/>
              </w:rPr>
              <w:t>Phạt vi phạm</w:t>
            </w:r>
          </w:p>
        </w:tc>
        <w:tc>
          <w:tcPr>
            <w:tcW w:type="dxa" w:w="3513"/>
            <w:vAlign w:val="center"/>
          </w:tcPr>
          <w:p>
            <w:pPr>
              <w:jc w:val="left"/>
            </w:pPr>
            <w:r/>
            <w:r>
              <w:rPr>
                <w:rFonts w:ascii="Times New Roman" w:hAnsi="Times New Roman" w:eastAsia="Times New Roman"/>
                <w:b w:val="0"/>
                <w:sz w:val="15"/>
              </w:rPr>
              <w:t>Luật Thương mại 2005: Điều 300, 301; Bộ luật Dân sự 2015: Điều 418. Ghi rõ mức phạt trong hợp đồng để tránh tranh chấp về căn cứ áp dụng.</w:t>
            </w:r>
          </w:p>
        </w:tc>
        <w:tc>
          <w:tcPr>
            <w:tcW w:type="dxa" w:w="3513"/>
            <w:vAlign w:val="center"/>
          </w:tcPr>
          <w:p>
            <w:pPr>
              <w:jc w:val="left"/>
            </w:pPr>
            <w:r/>
            <w:r>
              <w:rPr>
                <w:rFonts w:ascii="Times New Roman" w:hAnsi="Times New Roman" w:eastAsia="Times New Roman"/>
                <w:b w:val="0"/>
                <w:sz w:val="15"/>
              </w:rPr>
              <w:t>Bảo đảm điều khoản phạt có mức phạt rõ ràng, tránh mất quyền yêu cầu phạt.</w:t>
            </w:r>
          </w:p>
        </w:tc>
      </w:tr>
      <w:tr>
        <w:tc>
          <w:tcPr>
            <w:tcW w:type="dxa" w:w="3513"/>
            <w:vAlign w:val="center"/>
          </w:tcPr>
          <w:p>
            <w:pPr>
              <w:jc w:val="left"/>
            </w:pPr>
            <w:r/>
            <w:r>
              <w:rPr>
                <w:rFonts w:ascii="Times New Roman" w:hAnsi="Times New Roman" w:eastAsia="Times New Roman"/>
                <w:b w:val="0"/>
                <w:sz w:val="15"/>
              </w:rPr>
              <w:t>Bồi thường thiệt hại</w:t>
            </w:r>
          </w:p>
        </w:tc>
        <w:tc>
          <w:tcPr>
            <w:tcW w:type="dxa" w:w="3513"/>
            <w:vAlign w:val="center"/>
          </w:tcPr>
          <w:p>
            <w:pPr>
              <w:jc w:val="left"/>
            </w:pPr>
            <w:r/>
            <w:r>
              <w:rPr>
                <w:rFonts w:ascii="Times New Roman" w:hAnsi="Times New Roman" w:eastAsia="Times New Roman"/>
                <w:b w:val="0"/>
                <w:sz w:val="15"/>
              </w:rPr>
              <w:t>Luật Thương mại 2005: Điều 302, 303, 304, 305, 307; Bộ luật Dân sự 2015: Điều 13, 360, 361, 419. Bên yêu cầu bồi thường phải chứng minh thiệt hại và quan hệ nhân quả.</w:t>
            </w:r>
          </w:p>
        </w:tc>
        <w:tc>
          <w:tcPr>
            <w:tcW w:type="dxa" w:w="3513"/>
            <w:vAlign w:val="center"/>
          </w:tcPr>
          <w:p>
            <w:pPr>
              <w:jc w:val="left"/>
            </w:pPr>
            <w:r/>
            <w:r>
              <w:rPr>
                <w:rFonts w:ascii="Times New Roman" w:hAnsi="Times New Roman" w:eastAsia="Times New Roman"/>
                <w:b w:val="0"/>
                <w:sz w:val="15"/>
              </w:rPr>
              <w:t>Giữ quyền yêu cầu bồi thường thiệt hại thực tế, trực tiếp, hợp lý.</w:t>
            </w:r>
          </w:p>
        </w:tc>
      </w:tr>
      <w:tr>
        <w:tc>
          <w:tcPr>
            <w:tcW w:type="dxa" w:w="3513"/>
            <w:vAlign w:val="center"/>
          </w:tcPr>
          <w:p>
            <w:pPr>
              <w:jc w:val="left"/>
            </w:pPr>
            <w:r/>
            <w:r>
              <w:rPr>
                <w:rFonts w:ascii="Times New Roman" w:hAnsi="Times New Roman" w:eastAsia="Times New Roman"/>
                <w:b w:val="0"/>
                <w:sz w:val="15"/>
              </w:rPr>
              <w:t>Lãi chậm thanh toán</w:t>
            </w:r>
          </w:p>
        </w:tc>
        <w:tc>
          <w:tcPr>
            <w:tcW w:type="dxa" w:w="3513"/>
            <w:vAlign w:val="center"/>
          </w:tcPr>
          <w:p>
            <w:pPr>
              <w:jc w:val="left"/>
            </w:pPr>
            <w:r/>
            <w:r>
              <w:rPr>
                <w:rFonts w:ascii="Times New Roman" w:hAnsi="Times New Roman" w:eastAsia="Times New Roman"/>
                <w:b w:val="0"/>
                <w:sz w:val="15"/>
              </w:rPr>
              <w:t>Luật Thương mại 2005: Điều 306; Bộ luật Dân sự 2015: Điều 357, 468; Nghị quyết 01/2019/NQ-HĐTP: Điều 11. Nên ghi rõ mức lãi hoặc công thức xác định.</w:t>
            </w:r>
          </w:p>
        </w:tc>
        <w:tc>
          <w:tcPr>
            <w:tcW w:type="dxa" w:w="3513"/>
            <w:vAlign w:val="center"/>
          </w:tcPr>
          <w:p>
            <w:pPr>
              <w:jc w:val="left"/>
            </w:pPr>
            <w:r/>
            <w:r>
              <w:rPr>
                <w:rFonts w:ascii="Times New Roman" w:hAnsi="Times New Roman" w:eastAsia="Times New Roman"/>
                <w:b w:val="0"/>
                <w:sz w:val="15"/>
              </w:rPr>
              <w:t>Giúp Bên B có căn cứ đòi lãi cụ thể khi Bên A chậm thanh toán.</w:t>
            </w:r>
          </w:p>
        </w:tc>
      </w:tr>
      <w:tr>
        <w:tc>
          <w:tcPr>
            <w:tcW w:type="dxa" w:w="3513"/>
            <w:vAlign w:val="center"/>
          </w:tcPr>
          <w:p>
            <w:pPr>
              <w:jc w:val="left"/>
            </w:pPr>
            <w:r/>
            <w:r>
              <w:rPr>
                <w:rFonts w:ascii="Times New Roman" w:hAnsi="Times New Roman" w:eastAsia="Times New Roman"/>
                <w:b w:val="0"/>
                <w:sz w:val="15"/>
              </w:rPr>
              <w:t>Tạm ngừng/đình chỉ/chấm dứt</w:t>
            </w:r>
          </w:p>
        </w:tc>
        <w:tc>
          <w:tcPr>
            <w:tcW w:type="dxa" w:w="3513"/>
            <w:vAlign w:val="center"/>
          </w:tcPr>
          <w:p>
            <w:pPr>
              <w:jc w:val="left"/>
            </w:pPr>
            <w:r/>
            <w:r>
              <w:rPr>
                <w:rFonts w:ascii="Times New Roman" w:hAnsi="Times New Roman" w:eastAsia="Times New Roman"/>
                <w:b w:val="0"/>
                <w:sz w:val="15"/>
              </w:rPr>
              <w:t>Luật Thương mại 2005: Điều 308, 309, 310, 311, 312; Bộ luật Dân sự 2015: Điều 411, 423, 424, 428. Cần có điều kiện kích hoạt, thông báo và thời hạn khắc phục.</w:t>
            </w:r>
          </w:p>
        </w:tc>
        <w:tc>
          <w:tcPr>
            <w:tcW w:type="dxa" w:w="3513"/>
            <w:vAlign w:val="center"/>
          </w:tcPr>
          <w:p>
            <w:pPr>
              <w:jc w:val="left"/>
            </w:pPr>
            <w:r/>
            <w:r>
              <w:rPr>
                <w:rFonts w:ascii="Times New Roman" w:hAnsi="Times New Roman" w:eastAsia="Times New Roman"/>
                <w:b w:val="0"/>
                <w:sz w:val="15"/>
              </w:rPr>
              <w:t>Tránh rủi ro Bên B bị xem là vi phạm khi tạm ngừng đúng điều kiện.</w:t>
            </w:r>
          </w:p>
        </w:tc>
      </w:tr>
      <w:tr>
        <w:tc>
          <w:tcPr>
            <w:tcW w:type="dxa" w:w="3513"/>
            <w:vAlign w:val="center"/>
          </w:tcPr>
          <w:p>
            <w:pPr>
              <w:jc w:val="left"/>
            </w:pPr>
            <w:r/>
            <w:r>
              <w:rPr>
                <w:rFonts w:ascii="Times New Roman" w:hAnsi="Times New Roman" w:eastAsia="Times New Roman"/>
                <w:b w:val="0"/>
                <w:sz w:val="15"/>
              </w:rPr>
              <w:t>Giao nhận, kiểm tra, nghiệm thu mặc nhiên</w:t>
            </w:r>
          </w:p>
        </w:tc>
        <w:tc>
          <w:tcPr>
            <w:tcW w:type="dxa" w:w="3513"/>
            <w:vAlign w:val="center"/>
          </w:tcPr>
          <w:p>
            <w:pPr>
              <w:jc w:val="left"/>
            </w:pPr>
            <w:r/>
            <w:r>
              <w:rPr>
                <w:rFonts w:ascii="Times New Roman" w:hAnsi="Times New Roman" w:eastAsia="Times New Roman"/>
                <w:b w:val="0"/>
                <w:sz w:val="15"/>
              </w:rPr>
              <w:t>Bộ luật Dân sự 2015: Điều 394, 400 và nguyên tắc tự do thỏa thuận; Luật Thương mại 2005 về giao hàng, kiểm tra hàng hóa và nghĩa vụ thông báo khi phát hiện sai sót.</w:t>
            </w:r>
          </w:p>
        </w:tc>
        <w:tc>
          <w:tcPr>
            <w:tcW w:type="dxa" w:w="3513"/>
            <w:vAlign w:val="center"/>
          </w:tcPr>
          <w:p>
            <w:pPr>
              <w:jc w:val="left"/>
            </w:pPr>
            <w:r/>
            <w:r>
              <w:rPr>
                <w:rFonts w:ascii="Times New Roman" w:hAnsi="Times New Roman" w:eastAsia="Times New Roman"/>
                <w:b w:val="0"/>
                <w:sz w:val="15"/>
              </w:rPr>
              <w:t>Tạo cơ chế xác nhận khối lượng và hạn chế trì hoãn nghiệm thu.</w:t>
            </w:r>
          </w:p>
        </w:tc>
      </w:tr>
      <w:tr>
        <w:tc>
          <w:tcPr>
            <w:tcW w:type="dxa" w:w="3513"/>
            <w:vAlign w:val="center"/>
          </w:tcPr>
          <w:p>
            <w:pPr>
              <w:jc w:val="left"/>
            </w:pPr>
            <w:r/>
            <w:r>
              <w:rPr>
                <w:rFonts w:ascii="Times New Roman" w:hAnsi="Times New Roman" w:eastAsia="Times New Roman"/>
                <w:b w:val="0"/>
                <w:sz w:val="15"/>
              </w:rPr>
              <w:t>Mua bán hàng hóa, bảo hành hàng hóa</w:t>
            </w:r>
          </w:p>
        </w:tc>
        <w:tc>
          <w:tcPr>
            <w:tcW w:type="dxa" w:w="3513"/>
            <w:vAlign w:val="center"/>
          </w:tcPr>
          <w:p>
            <w:pPr>
              <w:jc w:val="left"/>
            </w:pPr>
            <w:r/>
            <w:r>
              <w:rPr>
                <w:rFonts w:ascii="Times New Roman" w:hAnsi="Times New Roman" w:eastAsia="Times New Roman"/>
                <w:b w:val="0"/>
                <w:sz w:val="15"/>
              </w:rPr>
              <w:t>Luật Thương mại 2005: Điều 44, 49 và các quy định liên quan đến kiểm tra, khiếu nại, bảo hành; Bộ luật Dân sự 2015 về mua bán tài sản/hàng hóa.</w:t>
            </w:r>
          </w:p>
        </w:tc>
        <w:tc>
          <w:tcPr>
            <w:tcW w:type="dxa" w:w="3513"/>
            <w:vAlign w:val="center"/>
          </w:tcPr>
          <w:p>
            <w:pPr>
              <w:jc w:val="left"/>
            </w:pPr>
            <w:r/>
            <w:r>
              <w:rPr>
                <w:rFonts w:ascii="Times New Roman" w:hAnsi="Times New Roman" w:eastAsia="Times New Roman"/>
                <w:b w:val="0"/>
                <w:sz w:val="15"/>
              </w:rPr>
              <w:t>Làm rõ kiểm tra hàng, từ chối nhận hàng, bảo hành và chuyển giao rủi ro.</w:t>
            </w:r>
          </w:p>
        </w:tc>
      </w:tr>
      <w:tr>
        <w:tc>
          <w:tcPr>
            <w:tcW w:type="dxa" w:w="3513"/>
            <w:vAlign w:val="center"/>
          </w:tcPr>
          <w:p>
            <w:pPr>
              <w:jc w:val="left"/>
            </w:pPr>
            <w:r/>
            <w:r>
              <w:rPr>
                <w:rFonts w:ascii="Times New Roman" w:hAnsi="Times New Roman" w:eastAsia="Times New Roman"/>
                <w:b w:val="0"/>
                <w:sz w:val="15"/>
              </w:rPr>
              <w:t>Trao đổi điện tử và chứng cứ</w:t>
            </w:r>
          </w:p>
        </w:tc>
        <w:tc>
          <w:tcPr>
            <w:tcW w:type="dxa" w:w="3513"/>
            <w:vAlign w:val="center"/>
          </w:tcPr>
          <w:p>
            <w:pPr>
              <w:jc w:val="left"/>
            </w:pPr>
            <w:r/>
            <w:r>
              <w:rPr>
                <w:rFonts w:ascii="Times New Roman" w:hAnsi="Times New Roman" w:eastAsia="Times New Roman"/>
                <w:b w:val="0"/>
                <w:sz w:val="15"/>
              </w:rPr>
              <w:t>Luật Giao dịch điện tử 2023: Điều 8, 11, 23; Bộ luật Tố tụng dân sự 2015: Điều 93. Cần lưu log, email, ảnh chụp, metadata để tăng giá trị chứng minh.</w:t>
            </w:r>
          </w:p>
        </w:tc>
        <w:tc>
          <w:tcPr>
            <w:tcW w:type="dxa" w:w="3513"/>
            <w:vAlign w:val="center"/>
          </w:tcPr>
          <w:p>
            <w:pPr>
              <w:jc w:val="left"/>
            </w:pPr>
            <w:r/>
            <w:r>
              <w:rPr>
                <w:rFonts w:ascii="Times New Roman" w:hAnsi="Times New Roman" w:eastAsia="Times New Roman"/>
                <w:b w:val="0"/>
                <w:sz w:val="15"/>
              </w:rPr>
              <w:t>Tăng giá trị chứng cứ của email, log, tin nhắn, hệ thống quản lý.</w:t>
            </w:r>
          </w:p>
        </w:tc>
      </w:tr>
      <w:tr>
        <w:tc>
          <w:tcPr>
            <w:tcW w:type="dxa" w:w="3513"/>
            <w:vAlign w:val="center"/>
          </w:tcPr>
          <w:p>
            <w:pPr>
              <w:jc w:val="left"/>
            </w:pPr>
            <w:r/>
            <w:r>
              <w:rPr>
                <w:rFonts w:ascii="Times New Roman" w:hAnsi="Times New Roman" w:eastAsia="Times New Roman"/>
                <w:b w:val="0"/>
                <w:sz w:val="15"/>
              </w:rPr>
              <w:t>Bảo mật thông tin</w:t>
            </w:r>
          </w:p>
        </w:tc>
        <w:tc>
          <w:tcPr>
            <w:tcW w:type="dxa" w:w="3513"/>
            <w:vAlign w:val="center"/>
          </w:tcPr>
          <w:p>
            <w:pPr>
              <w:jc w:val="left"/>
            </w:pPr>
            <w:r/>
            <w:r>
              <w:rPr>
                <w:rFonts w:ascii="Times New Roman" w:hAnsi="Times New Roman" w:eastAsia="Times New Roman"/>
                <w:b w:val="0"/>
                <w:sz w:val="15"/>
              </w:rPr>
              <w:t>Bộ luật Dân sự 2015: nguyên tắc thiện chí, trung thực, tự do thỏa thuận và trách nhiệm bồi thường; Luật Thương mại 2005 về bảo mật thông tin trong hoạt động thương mại; các quy định bảo vệ dữ liệu/thông tin hiện hành.</w:t>
            </w:r>
          </w:p>
        </w:tc>
        <w:tc>
          <w:tcPr>
            <w:tcW w:type="dxa" w:w="3513"/>
            <w:vAlign w:val="center"/>
          </w:tcPr>
          <w:p>
            <w:pPr>
              <w:jc w:val="left"/>
            </w:pPr>
            <w:r/>
            <w:r>
              <w:rPr>
                <w:rFonts w:ascii="Times New Roman" w:hAnsi="Times New Roman" w:eastAsia="Times New Roman"/>
                <w:b w:val="0"/>
                <w:sz w:val="15"/>
              </w:rPr>
              <w:t>Bảo vệ giá, quy trình, khách hàng, dữ liệu hồ sơ và tài liệu kỹ thuật.</w:t>
            </w:r>
          </w:p>
        </w:tc>
      </w:tr>
      <w:tr>
        <w:tc>
          <w:tcPr>
            <w:tcW w:type="dxa" w:w="3513"/>
            <w:vAlign w:val="center"/>
          </w:tcPr>
          <w:p>
            <w:pPr>
              <w:jc w:val="left"/>
            </w:pPr>
            <w:r/>
            <w:r>
              <w:rPr>
                <w:rFonts w:ascii="Times New Roman" w:hAnsi="Times New Roman" w:eastAsia="Times New Roman"/>
                <w:b w:val="0"/>
                <w:sz w:val="15"/>
              </w:rPr>
              <w:t>Thuế, hóa đơn, chứng từ</w:t>
            </w:r>
          </w:p>
        </w:tc>
        <w:tc>
          <w:tcPr>
            <w:tcW w:type="dxa" w:w="3513"/>
            <w:vAlign w:val="center"/>
          </w:tcPr>
          <w:p>
            <w:pPr>
              <w:jc w:val="left"/>
            </w:pPr>
            <w:r/>
            <w:r>
              <w:rPr>
                <w:rFonts w:ascii="Times New Roman" w:hAnsi="Times New Roman" w:eastAsia="Times New Roman"/>
                <w:b w:val="0"/>
                <w:sz w:val="15"/>
              </w:rPr>
              <w:t>Luật Quản lý thuế, quy định về hóa đơn/chứng từ điện tử, VAT và các văn bản sửa đổi/bổ sung/thay thế có hiệu lực tại thời điểm phát sinh giao dịch.</w:t>
            </w:r>
          </w:p>
        </w:tc>
        <w:tc>
          <w:tcPr>
            <w:tcW w:type="dxa" w:w="3513"/>
            <w:vAlign w:val="center"/>
          </w:tcPr>
          <w:p>
            <w:pPr>
              <w:jc w:val="left"/>
            </w:pPr>
            <w:r/>
            <w:r>
              <w:rPr>
                <w:rFonts w:ascii="Times New Roman" w:hAnsi="Times New Roman" w:eastAsia="Times New Roman"/>
                <w:b w:val="0"/>
                <w:sz w:val="15"/>
              </w:rPr>
              <w:t>Quản trị VAT, hóa đơn, thông tin xuất hóa đơn và thay đổi chính sách.</w:t>
            </w:r>
          </w:p>
        </w:tc>
      </w:tr>
      <w:tr>
        <w:tc>
          <w:tcPr>
            <w:tcW w:type="dxa" w:w="3513"/>
            <w:vAlign w:val="center"/>
          </w:tcPr>
          <w:p>
            <w:pPr>
              <w:jc w:val="left"/>
            </w:pPr>
            <w:r/>
            <w:r>
              <w:rPr>
                <w:rFonts w:ascii="Times New Roman" w:hAnsi="Times New Roman" w:eastAsia="Times New Roman"/>
                <w:b w:val="0"/>
                <w:sz w:val="15"/>
              </w:rPr>
              <w:t>An toàn lao động, PCCC, an toàn điện</w:t>
            </w:r>
          </w:p>
        </w:tc>
        <w:tc>
          <w:tcPr>
            <w:tcW w:type="dxa" w:w="3513"/>
            <w:vAlign w:val="center"/>
          </w:tcPr>
          <w:p>
            <w:pPr>
              <w:jc w:val="left"/>
            </w:pPr>
            <w:r/>
            <w:r>
              <w:rPr>
                <w:rFonts w:ascii="Times New Roman" w:hAnsi="Times New Roman" w:eastAsia="Times New Roman"/>
                <w:b w:val="0"/>
                <w:sz w:val="15"/>
              </w:rPr>
              <w:t>Luật An toàn, vệ sinh lao động, quy định về PCCC, an toàn điện và quy chuẩn kỹ thuật chuyên ngành áp dụng cho địa điểm/hạng mục công việc.</w:t>
            </w:r>
          </w:p>
        </w:tc>
        <w:tc>
          <w:tcPr>
            <w:tcW w:type="dxa" w:w="3513"/>
            <w:vAlign w:val="center"/>
          </w:tcPr>
          <w:p>
            <w:pPr>
              <w:jc w:val="left"/>
            </w:pPr>
            <w:r/>
            <w:r>
              <w:rPr>
                <w:rFonts w:ascii="Times New Roman" w:hAnsi="Times New Roman" w:eastAsia="Times New Roman"/>
                <w:b w:val="0"/>
                <w:sz w:val="15"/>
              </w:rPr>
              <w:t>Kiểm soát trách nhiệm hiện trường và quyền dừng vì lý do an toàn.</w:t>
            </w:r>
          </w:p>
        </w:tc>
      </w:tr>
      <w:tr>
        <w:tc>
          <w:tcPr>
            <w:tcW w:type="dxa" w:w="3513"/>
            <w:vAlign w:val="center"/>
          </w:tcPr>
          <w:p>
            <w:pPr>
              <w:jc w:val="left"/>
            </w:pPr>
            <w:r/>
            <w:r>
              <w:rPr>
                <w:rFonts w:ascii="Times New Roman" w:hAnsi="Times New Roman" w:eastAsia="Times New Roman"/>
                <w:b w:val="0"/>
                <w:sz w:val="15"/>
              </w:rPr>
              <w:t>Bất khả kháng</w:t>
            </w:r>
          </w:p>
        </w:tc>
        <w:tc>
          <w:tcPr>
            <w:tcW w:type="dxa" w:w="3513"/>
            <w:vAlign w:val="center"/>
          </w:tcPr>
          <w:p>
            <w:pPr>
              <w:jc w:val="left"/>
            </w:pPr>
            <w:r/>
            <w:r>
              <w:rPr>
                <w:rFonts w:ascii="Times New Roman" w:hAnsi="Times New Roman" w:eastAsia="Times New Roman"/>
                <w:b w:val="0"/>
                <w:sz w:val="15"/>
              </w:rPr>
              <w:t>Bộ luật Dân sự 2015: Điều 351 khoản 2 và nguyên tắc miễn trách nhiệm khi có sự kiện bất khả kháng; cần quy định nghĩa vụ thông báo và giảm thiểu thiệt hại.</w:t>
            </w:r>
          </w:p>
        </w:tc>
        <w:tc>
          <w:tcPr>
            <w:tcW w:type="dxa" w:w="3513"/>
            <w:vAlign w:val="center"/>
          </w:tcPr>
          <w:p>
            <w:pPr>
              <w:jc w:val="left"/>
            </w:pPr>
            <w:r/>
            <w:r>
              <w:rPr>
                <w:rFonts w:ascii="Times New Roman" w:hAnsi="Times New Roman" w:eastAsia="Times New Roman"/>
                <w:b w:val="0"/>
                <w:sz w:val="15"/>
              </w:rPr>
              <w:t>Miễn/giãn trách nhiệm khi có sự kiện khách quan ngoài kiểm soát.</w:t>
            </w:r>
          </w:p>
        </w:tc>
      </w:tr>
    </w:tbl>
    <w:p>
      <w:pPr>
        <w:spacing w:after="40" w:line="252" w:lineRule="auto"/>
        <w:jc w:val="center"/>
      </w:pPr>
      <w:r>
        <w:rPr>
          <w:rFonts w:ascii="Times New Roman" w:hAnsi="Times New Roman" w:eastAsia="Times New Roman"/>
          <w:b/>
          <w:i w:val="0"/>
          <w:sz w:val="22"/>
        </w:rPr>
        <w:t>Phụ lục - Checklist trước khi ký</w:t>
      </w:r>
    </w:p>
    <w:p>
      <w:pPr>
        <w:ind w:left="227"/>
      </w:pPr>
      <w:r>
        <w:rPr>
          <w:rFonts w:ascii="Times New Roman" w:hAnsi="Times New Roman" w:eastAsia="Times New Roman"/>
          <w:sz w:val="18"/>
        </w:rPr>
        <w:t>☐ Điền đầy đủ số hợp đồng/phụ lục, ngày ký, người đại diện, chức vụ và thẩm quyền ký.</w:t>
      </w:r>
    </w:p>
    <w:p>
      <w:pPr>
        <w:ind w:left="227"/>
      </w:pPr>
      <w:r>
        <w:rPr>
          <w:rFonts w:ascii="Times New Roman" w:hAnsi="Times New Roman" w:eastAsia="Times New Roman"/>
          <w:sz w:val="18"/>
        </w:rPr>
        <w:t>☐ Điền rõ VAT, giá đã bao gồm hay chưa bao gồm VAT, tổng thanh toán và số tiền bằng chữ nếu cần.</w:t>
      </w:r>
    </w:p>
    <w:p>
      <w:pPr>
        <w:ind w:left="227"/>
      </w:pPr>
      <w:r>
        <w:rPr>
          <w:rFonts w:ascii="Times New Roman" w:hAnsi="Times New Roman" w:eastAsia="Times New Roman"/>
          <w:sz w:val="18"/>
        </w:rPr>
        <w:t>☐ Điền rõ tiến độ thanh toán, thời hạn thanh toán, lãi chậm trả và hồ sơ thanh toán.</w:t>
      </w:r>
    </w:p>
    <w:p>
      <w:pPr>
        <w:ind w:left="227"/>
      </w:pPr>
      <w:r>
        <w:rPr>
          <w:rFonts w:ascii="Times New Roman" w:hAnsi="Times New Roman" w:eastAsia="Times New Roman"/>
          <w:sz w:val="18"/>
        </w:rPr>
        <w:t>☐ Điền rõ thời hạn kiểm tra/nghiệm thu mặc nhiên, thời hạn bảo hành và phạm vi loại trừ bảo hành.</w:t>
      </w:r>
    </w:p>
    <w:p>
      <w:pPr>
        <w:ind w:left="227"/>
      </w:pPr>
      <w:r>
        <w:rPr>
          <w:rFonts w:ascii="Times New Roman" w:hAnsi="Times New Roman" w:eastAsia="Times New Roman"/>
          <w:sz w:val="18"/>
        </w:rPr>
        <w:t>☐ Kiểm tra mức phạt vi phạm không vượt giới hạn pháp luật áp dụng cho loại giao dịch.</w:t>
      </w:r>
    </w:p>
    <w:p>
      <w:pPr>
        <w:ind w:left="227"/>
      </w:pPr>
      <w:r>
        <w:rPr>
          <w:rFonts w:ascii="Times New Roman" w:hAnsi="Times New Roman" w:eastAsia="Times New Roman"/>
          <w:sz w:val="18"/>
        </w:rPr>
        <w:t>☐ Đính kèm báo giá, bảng khối lượng, phụ lục tiến độ, phụ lục kỹ thuật, phụ lục chính sách nếu dùng.</w:t>
      </w:r>
    </w:p>
    <w:p>
      <w:pPr>
        <w:ind w:left="227"/>
      </w:pPr>
      <w:r>
        <w:rPr>
          <w:rFonts w:ascii="Times New Roman" w:hAnsi="Times New Roman" w:eastAsia="Times New Roman"/>
          <w:sz w:val="18"/>
        </w:rPr>
        <w:t>☐ Kiểm tra thông tin xuất hóa đơn, tài khoản ngân hàng và người nhận thông báo/email chính thức.</w:t>
      </w:r>
    </w:p>
    <w:p>
      <w:pPr>
        <w:ind w:left="227"/>
      </w:pPr>
      <w:r>
        <w:rPr>
          <w:rFonts w:ascii="Times New Roman" w:hAnsi="Times New Roman" w:eastAsia="Times New Roman"/>
          <w:sz w:val="18"/>
        </w:rPr>
        <w:t>☐ Với hợp đồng giá trị lớn/nhà nước/nước ngoài: chuyển LEXcentra/kế toán/luật sư rà cuối trước khi ký.</w:t>
      </w:r>
    </w:p>
    <w:sectPr w:rsidR="00FC693F" w:rsidRPr="0006063C" w:rsidSect="00034616">
      <w:headerReference w:type="default" r:id="rId9"/>
      <w:footerReference w:type="default" r:id="rId10"/>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 xml:space="preserve">THANH HOÀI Contract Template v3.0 - LEX References | 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6"/>
      </w:rPr>
      <w:t>THANH HOÀI ERP - BỘ MẪU HỢP ĐỒNG | HỢP ĐỒNG MUA BÁN HÀNG HÓA | Mã mẫu: HDMB-TH-v3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