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9" w:lineRule="auto"/>
        <w:jc w:val="center"/>
      </w:pPr>
      <w:r>
        <w:rPr>
          <w:rFonts w:ascii="Times New Roman" w:hAnsi="Times New Roman" w:eastAsia="Times New Roman"/>
          <w:b/>
          <w:i w:val="0"/>
          <w:sz w:val="24"/>
        </w:rPr>
        <w:t>CỘNG HÒA XÃ HỘI CHỦ NGHĨA VIỆT NAM</w:t>
      </w:r>
    </w:p>
    <w:p>
      <w:pPr>
        <w:spacing w:after="0" w:line="259" w:lineRule="auto"/>
        <w:jc w:val="center"/>
      </w:pPr>
      <w:r>
        <w:rPr>
          <w:rFonts w:ascii="Times New Roman" w:hAnsi="Times New Roman" w:eastAsia="Times New Roman"/>
          <w:b/>
          <w:i w:val="0"/>
          <w:sz w:val="24"/>
        </w:rPr>
        <w:t>Độc lập - Tự do - Hạnh phúc</w:t>
      </w:r>
    </w:p>
    <w:p>
      <w:pPr>
        <w:spacing w:after="120" w:line="259" w:lineRule="auto"/>
        <w:jc w:val="center"/>
      </w:pPr>
      <w:r>
        <w:rPr>
          <w:rFonts w:ascii="Times New Roman" w:hAnsi="Times New Roman" w:eastAsia="Times New Roman"/>
          <w:b w:val="0"/>
          <w:i w:val="0"/>
          <w:sz w:val="22"/>
        </w:rPr>
        <w:t>---o0o---</w:t>
      </w:r>
    </w:p>
    <w:p>
      <w:pPr>
        <w:spacing w:after="60" w:line="259" w:lineRule="auto"/>
        <w:jc w:val="center"/>
      </w:pPr>
      <w:r>
        <w:rPr>
          <w:rFonts w:ascii="Times New Roman" w:hAnsi="Times New Roman" w:eastAsia="Times New Roman"/>
          <w:b/>
          <w:i w:val="0"/>
          <w:sz w:val="30"/>
        </w:rPr>
        <w:t>HỢP ĐỒNG THI CÔNG, LẮP ĐẶT</w:t>
      </w:r>
    </w:p>
    <w:p>
      <w:pPr>
        <w:spacing w:after="160" w:line="259" w:lineRule="auto"/>
        <w:jc w:val="center"/>
      </w:pPr>
      <w:r>
        <w:rPr>
          <w:rFonts w:ascii="Times New Roman" w:hAnsi="Times New Roman" w:eastAsia="Times New Roman"/>
          <w:b/>
          <w:i w:val="0"/>
          <w:sz w:val="22"/>
        </w:rPr>
        <w:t>Số: {{so_hop_dong}}/HĐLĐ/TH</w:t>
      </w:r>
    </w:p>
    <w:p>
      <w:pPr>
        <w:spacing w:after="40" w:line="259" w:lineRule="auto"/>
      </w:pPr>
      <w:r>
        <w:rPr>
          <w:rFonts w:ascii="Times New Roman" w:hAnsi="Times New Roman" w:eastAsia="Times New Roman"/>
          <w:b/>
          <w:i w:val="0"/>
          <w:sz w:val="22"/>
        </w:rPr>
        <w:t>Căn cứ ký kết:</w:t>
      </w:r>
    </w:p>
    <w:p>
      <w:pPr>
        <w:pStyle w:val="ListBullet"/>
        <w:spacing w:after="40"/>
      </w:pPr>
      <w:r>
        <w:rPr>
          <w:rFonts w:ascii="Times New Roman" w:hAnsi="Times New Roman" w:eastAsia="Times New Roman"/>
          <w:sz w:val="22"/>
        </w:rPr>
        <w:t>Bộ luật Dân sự, Luật Thương mại, Luật Xây dựng và các văn bản hướng dẫn/sửa đổi/bổ sung/thay thế có hiệu lực tại thời điểm ký kết và thực hiện Hợp đồng;</w:t>
      </w:r>
    </w:p>
    <w:p>
      <w:pPr>
        <w:pStyle w:val="ListBullet"/>
        <w:spacing w:after="40"/>
      </w:pPr>
      <w:r>
        <w:rPr>
          <w:rFonts w:ascii="Times New Roman" w:hAnsi="Times New Roman" w:eastAsia="Times New Roman"/>
          <w:sz w:val="22"/>
        </w:rPr>
        <w:t>Các quy định pháp luật hiện hành về thuế, hóa đơn, chứng từ, an toàn lao động, an toàn điện, phòng cháy chữa cháy, quản lý chất lượng, bảo hành, bảo trì công trình/hạng mục nếu thuộc phạm vi áp dụng;</w:t>
      </w:r>
    </w:p>
    <w:p>
      <w:pPr>
        <w:pStyle w:val="ListBullet"/>
        <w:spacing w:after="40"/>
      </w:pPr>
      <w:r>
        <w:rPr>
          <w:rFonts w:ascii="Times New Roman" w:hAnsi="Times New Roman" w:eastAsia="Times New Roman"/>
          <w:sz w:val="22"/>
        </w:rPr>
        <w:t>Báo giá, biên bản khảo sát, bản vẽ, thuyết minh kỹ thuật, phụ lục, email/xác nhận giao dịch và nhu cầu thực tế của hai bên;</w:t>
      </w:r>
    </w:p>
    <w:p>
      <w:pPr>
        <w:pStyle w:val="ListBullet"/>
        <w:spacing w:after="40"/>
      </w:pPr>
      <w:r>
        <w:rPr>
          <w:rFonts w:ascii="Times New Roman" w:hAnsi="Times New Roman" w:eastAsia="Times New Roman"/>
          <w:sz w:val="22"/>
        </w:rPr>
        <w:t>Năng lực cung cấp, thi công, lắp đặt và thỏa thuận tự nguyện của các bên.</w:t>
      </w:r>
    </w:p>
    <w:p>
      <w:pPr>
        <w:pStyle w:val="ListBullet"/>
      </w:pPr>
      <w:r>
        <w:rPr>
          <w:rFonts w:ascii="Times New Roman" w:hAnsi="Times New Roman" w:eastAsia="Times New Roman"/>
          <w:i/>
          <w:color w:val="545454"/>
          <w:sz w:val="18"/>
        </w:rPr>
        <w:t>Bộ luật Dân sự năm 2015: nguyên tắc giao kết/thực hiện hợp đồng, nghĩa vụ, bồi thường thiệt hại, phạt vi phạm, đơn phương chấm dứt/chấm dứt hợp đồng và trách nhiệm do vi phạm nghĩa vụ;</w:t>
      </w:r>
    </w:p>
    <w:p>
      <w:pPr>
        <w:pStyle w:val="ListBullet"/>
      </w:pPr>
      <w:r>
        <w:rPr>
          <w:rFonts w:ascii="Times New Roman" w:hAnsi="Times New Roman" w:eastAsia="Times New Roman"/>
          <w:i/>
          <w:color w:val="545454"/>
          <w:sz w:val="18"/>
        </w:rPr>
        <w:t>Luật Thương mại năm 2005: mua bán hàng hóa/cung ứng dịch vụ, phạt vi phạm, bồi thường thiệt hại, lãi chậm thanh toán, tạm ngừng/đình chỉ thực hiện hợp đồng và giải quyết hậu quả vi phạm;</w:t>
      </w:r>
    </w:p>
    <w:p>
      <w:pPr>
        <w:pStyle w:val="ListBullet"/>
      </w:pPr>
      <w:r>
        <w:rPr>
          <w:rFonts w:ascii="Times New Roman" w:hAnsi="Times New Roman" w:eastAsia="Times New Roman"/>
          <w:i/>
          <w:color w:val="545454"/>
          <w:sz w:val="18"/>
        </w:rPr>
        <w:t>Luật Giao dịch điện tử năm 2023 và Bộ luật Tố tụng dân sự năm 2015: giá trị pháp lý/chứng cứ của thông điệp dữ liệu, chữ ký điện tử, log hệ thống, email, tin nhắn và dữ liệu điện tử;</w:t>
      </w:r>
    </w:p>
    <w:p>
      <w:pPr>
        <w:pStyle w:val="ListBullet"/>
      </w:pPr>
      <w:r>
        <w:rPr>
          <w:rFonts w:ascii="Times New Roman" w:hAnsi="Times New Roman" w:eastAsia="Times New Roman"/>
          <w:i/>
          <w:color w:val="545454"/>
          <w:sz w:val="18"/>
        </w:rPr>
        <w:t>Nghị quyết 01/2019/NQ-HĐTP của Hội đồng Thẩm phán TANDTC: tham chiếu khi xác định lãi, lãi suất trong giải quyết tranh chấp nếu hợp đồng không quy định hoặc cần đối chiếu theo pháp luật;</w:t>
      </w:r>
    </w:p>
    <w:p>
      <w:pPr>
        <w:pStyle w:val="ListBullet"/>
      </w:pPr>
      <w:r>
        <w:rPr>
          <w:rFonts w:ascii="Times New Roman" w:hAnsi="Times New Roman" w:eastAsia="Times New Roman"/>
          <w:i/>
          <w:color w:val="545454"/>
          <w:sz w:val="18"/>
        </w:rPr>
        <w:t>Các quy định pháp luật hiện hành về xây dựng, an toàn lao động, an toàn điện, phòng cháy chữa cháy, quản lý chất lượng, bảo hành, thuế, hóa đơn và chứng từ áp dụng tại thời điểm ký/thực hiện Hợp đồng.</w:t>
      </w:r>
    </w:p>
    <w:p>
      <w:pPr>
        <w:spacing w:after="100" w:line="259" w:lineRule="auto"/>
      </w:pPr>
      <w:r>
        <w:rPr>
          <w:rFonts w:ascii="Times New Roman" w:hAnsi="Times New Roman" w:eastAsia="Times New Roman"/>
          <w:b w:val="0"/>
          <w:i w:val="0"/>
          <w:sz w:val="22"/>
        </w:rPr>
        <w:t>Hôm nay, ngày {{ngay}} tháng {{thang}} năm {{nam}}, tại {{dia_diem_ky}}, chúng tôi gồm:</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071"/>
        <w:gridCol w:w="5071"/>
      </w:tblGrid>
      <w:tr>
        <w:tc>
          <w:tcPr>
            <w:tcW w:type="dxa" w:w="5071"/>
            <w:shd w:fill="D9EAF7"/>
            <w:vAlign w:val="top"/>
          </w:tcPr>
          <w:p>
            <w:pPr>
              <w:jc w:val="center"/>
            </w:pPr>
            <w:r>
              <w:rPr>
                <w:rFonts w:ascii="Times New Roman" w:hAnsi="Times New Roman" w:eastAsia="Times New Roman"/>
              </w:rPr>
            </w:r>
            <w:r>
              <w:rPr>
                <w:rFonts w:ascii="Times New Roman" w:hAnsi="Times New Roman" w:eastAsia="Times New Roman"/>
                <w:b/>
                <w:sz w:val="20"/>
              </w:rPr>
              <w:t>BÊN A - KHÁCH HÀNG / ĐỐI TÁC</w:t>
            </w:r>
          </w:p>
        </w:tc>
        <w:tc>
          <w:tcPr>
            <w:tcW w:type="dxa" w:w="5071"/>
            <w:shd w:fill="D9EAF7"/>
            <w:vAlign w:val="top"/>
          </w:tcPr>
          <w:p>
            <w:pPr>
              <w:jc w:val="center"/>
            </w:pPr>
            <w:r>
              <w:rPr>
                <w:rFonts w:ascii="Times New Roman" w:hAnsi="Times New Roman" w:eastAsia="Times New Roman"/>
              </w:rPr>
            </w:r>
            <w:r>
              <w:rPr>
                <w:rFonts w:ascii="Times New Roman" w:hAnsi="Times New Roman" w:eastAsia="Times New Roman"/>
                <w:b/>
                <w:sz w:val="20"/>
              </w:rPr>
              <w:t>BÊN B - THANH HOÀI</w:t>
            </w:r>
          </w:p>
        </w:tc>
      </w:tr>
      <w:tr>
        <w:tc>
          <w:tcPr>
            <w:tcW w:type="dxa" w:w="5071"/>
            <w:vAlign w:val="top"/>
          </w:tcPr>
          <w:p>
            <w:r>
              <w:rPr>
                <w:rFonts w:ascii="Times New Roman" w:hAnsi="Times New Roman" w:eastAsia="Times New Roman"/>
              </w:rPr>
            </w:r>
            <w:r>
              <w:rPr>
                <w:rFonts w:ascii="Times New Roman" w:hAnsi="Times New Roman" w:eastAsia="Times New Roman"/>
                <w:b w:val="0"/>
                <w:sz w:val="19"/>
              </w:rPr>
              <w:t>Tên đơn vị: {{ben_a_ten}}</w:t>
            </w:r>
          </w:p>
        </w:tc>
        <w:tc>
          <w:tcPr>
            <w:tcW w:type="dxa" w:w="5071"/>
            <w:vAlign w:val="top"/>
          </w:tcPr>
          <w:p>
            <w:r>
              <w:rPr>
                <w:rFonts w:ascii="Times New Roman" w:hAnsi="Times New Roman" w:eastAsia="Times New Roman"/>
              </w:rPr>
            </w:r>
            <w:r>
              <w:rPr>
                <w:rFonts w:ascii="Times New Roman" w:hAnsi="Times New Roman" w:eastAsia="Times New Roman"/>
                <w:b w:val="0"/>
                <w:sz w:val="19"/>
              </w:rPr>
              <w:t>Tên đơn vị: CÔNG TY TNHH MTV CƠ ĐIỆN LẠNH THANH HOÀI</w:t>
            </w:r>
          </w:p>
        </w:tc>
      </w:tr>
      <w:tr>
        <w:tc>
          <w:tcPr>
            <w:tcW w:type="dxa" w:w="5071"/>
            <w:vAlign w:val="top"/>
          </w:tcPr>
          <w:p>
            <w:r>
              <w:rPr>
                <w:rFonts w:ascii="Times New Roman" w:hAnsi="Times New Roman" w:eastAsia="Times New Roman"/>
              </w:rPr>
            </w:r>
            <w:r>
              <w:rPr>
                <w:rFonts w:ascii="Times New Roman" w:hAnsi="Times New Roman" w:eastAsia="Times New Roman"/>
                <w:b w:val="0"/>
                <w:sz w:val="19"/>
              </w:rPr>
              <w:t>Địa chỉ: {{ben_a_dia_chi}}</w:t>
            </w:r>
          </w:p>
        </w:tc>
        <w:tc>
          <w:tcPr>
            <w:tcW w:type="dxa" w:w="5071"/>
            <w:vAlign w:val="top"/>
          </w:tcPr>
          <w:p>
            <w:r>
              <w:rPr>
                <w:rFonts w:ascii="Times New Roman" w:hAnsi="Times New Roman" w:eastAsia="Times New Roman"/>
              </w:rPr>
            </w:r>
            <w:r>
              <w:rPr>
                <w:rFonts w:ascii="Times New Roman" w:hAnsi="Times New Roman" w:eastAsia="Times New Roman"/>
                <w:b w:val="0"/>
                <w:sz w:val="19"/>
              </w:rPr>
              <w:t>Địa chỉ: 448/3, Tổ 16, KP 2, Phường Long Hưng, TP Đồng Nai, Việt Nam</w:t>
            </w:r>
          </w:p>
        </w:tc>
      </w:tr>
      <w:tr>
        <w:tc>
          <w:tcPr>
            <w:tcW w:type="dxa" w:w="5071"/>
            <w:vAlign w:val="top"/>
          </w:tcPr>
          <w:p>
            <w:r>
              <w:rPr>
                <w:rFonts w:ascii="Times New Roman" w:hAnsi="Times New Roman" w:eastAsia="Times New Roman"/>
              </w:rPr>
            </w:r>
            <w:r>
              <w:rPr>
                <w:rFonts w:ascii="Times New Roman" w:hAnsi="Times New Roman" w:eastAsia="Times New Roman"/>
                <w:b w:val="0"/>
                <w:sz w:val="19"/>
              </w:rPr>
              <w:t>Mã số thuế: {{ben_a_mst}}</w:t>
            </w:r>
          </w:p>
        </w:tc>
        <w:tc>
          <w:tcPr>
            <w:tcW w:type="dxa" w:w="5071"/>
            <w:vAlign w:val="top"/>
          </w:tcPr>
          <w:p>
            <w:r>
              <w:rPr>
                <w:rFonts w:ascii="Times New Roman" w:hAnsi="Times New Roman" w:eastAsia="Times New Roman"/>
              </w:rPr>
            </w:r>
            <w:r>
              <w:rPr>
                <w:rFonts w:ascii="Times New Roman" w:hAnsi="Times New Roman" w:eastAsia="Times New Roman"/>
                <w:b w:val="0"/>
                <w:sz w:val="19"/>
              </w:rPr>
              <w:t>Mã số thuế: 3602504881</w:t>
            </w:r>
          </w:p>
        </w:tc>
      </w:tr>
      <w:tr>
        <w:tc>
          <w:tcPr>
            <w:tcW w:type="dxa" w:w="5071"/>
            <w:vAlign w:val="top"/>
          </w:tcPr>
          <w:p>
            <w:r>
              <w:rPr>
                <w:rFonts w:ascii="Times New Roman" w:hAnsi="Times New Roman" w:eastAsia="Times New Roman"/>
              </w:rPr>
            </w:r>
            <w:r>
              <w:rPr>
                <w:rFonts w:ascii="Times New Roman" w:hAnsi="Times New Roman" w:eastAsia="Times New Roman"/>
                <w:b w:val="0"/>
                <w:sz w:val="19"/>
              </w:rPr>
              <w:t>Điện thoại: {{ben_a_dien_thoai}}</w:t>
            </w:r>
          </w:p>
        </w:tc>
        <w:tc>
          <w:tcPr>
            <w:tcW w:type="dxa" w:w="5071"/>
            <w:vAlign w:val="top"/>
          </w:tcPr>
          <w:p>
            <w:r>
              <w:rPr>
                <w:rFonts w:ascii="Times New Roman" w:hAnsi="Times New Roman" w:eastAsia="Times New Roman"/>
              </w:rPr>
            </w:r>
            <w:r>
              <w:rPr>
                <w:rFonts w:ascii="Times New Roman" w:hAnsi="Times New Roman" w:eastAsia="Times New Roman"/>
                <w:b w:val="0"/>
                <w:sz w:val="19"/>
              </w:rPr>
              <w:t>Điện thoại: 02513 835 395</w:t>
            </w:r>
          </w:p>
        </w:tc>
      </w:tr>
      <w:tr>
        <w:tc>
          <w:tcPr>
            <w:tcW w:type="dxa" w:w="5071"/>
            <w:vAlign w:val="top"/>
          </w:tcPr>
          <w:p>
            <w:r>
              <w:rPr>
                <w:rFonts w:ascii="Times New Roman" w:hAnsi="Times New Roman" w:eastAsia="Times New Roman"/>
              </w:rPr>
            </w:r>
            <w:r>
              <w:rPr>
                <w:rFonts w:ascii="Times New Roman" w:hAnsi="Times New Roman" w:eastAsia="Times New Roman"/>
                <w:b w:val="0"/>
                <w:sz w:val="19"/>
              </w:rPr>
              <w:t>Email: {{ben_a_email}}</w:t>
            </w:r>
          </w:p>
        </w:tc>
        <w:tc>
          <w:tcPr>
            <w:tcW w:type="dxa" w:w="5071"/>
            <w:vAlign w:val="top"/>
          </w:tcPr>
          <w:p>
            <w:r>
              <w:rPr>
                <w:rFonts w:ascii="Times New Roman" w:hAnsi="Times New Roman" w:eastAsia="Times New Roman"/>
              </w:rPr>
            </w:r>
            <w:r>
              <w:rPr>
                <w:rFonts w:ascii="Times New Roman" w:hAnsi="Times New Roman" w:eastAsia="Times New Roman"/>
                <w:b w:val="0"/>
                <w:sz w:val="19"/>
              </w:rPr>
              <w:t>Email: {{ben_b_email}}</w:t>
            </w:r>
          </w:p>
        </w:tc>
      </w:tr>
      <w:tr>
        <w:tc>
          <w:tcPr>
            <w:tcW w:type="dxa" w:w="5071"/>
            <w:vAlign w:val="top"/>
          </w:tcPr>
          <w:p>
            <w:r>
              <w:rPr>
                <w:rFonts w:ascii="Times New Roman" w:hAnsi="Times New Roman" w:eastAsia="Times New Roman"/>
              </w:rPr>
            </w:r>
            <w:r>
              <w:rPr>
                <w:rFonts w:ascii="Times New Roman" w:hAnsi="Times New Roman" w:eastAsia="Times New Roman"/>
                <w:b w:val="0"/>
                <w:sz w:val="19"/>
              </w:rPr>
              <w:t>Đại diện: {{ben_a_dai_dien}}</w:t>
            </w:r>
          </w:p>
        </w:tc>
        <w:tc>
          <w:tcPr>
            <w:tcW w:type="dxa" w:w="5071"/>
            <w:vAlign w:val="top"/>
          </w:tcPr>
          <w:p>
            <w:r>
              <w:rPr>
                <w:rFonts w:ascii="Times New Roman" w:hAnsi="Times New Roman" w:eastAsia="Times New Roman"/>
              </w:rPr>
            </w:r>
            <w:r>
              <w:rPr>
                <w:rFonts w:ascii="Times New Roman" w:hAnsi="Times New Roman" w:eastAsia="Times New Roman"/>
                <w:b w:val="0"/>
                <w:sz w:val="19"/>
              </w:rPr>
              <w:t>Đại diện: PHAN TRẦN ANH QUÂN</w:t>
            </w:r>
          </w:p>
        </w:tc>
      </w:tr>
      <w:tr>
        <w:tc>
          <w:tcPr>
            <w:tcW w:type="dxa" w:w="5071"/>
            <w:vAlign w:val="top"/>
          </w:tcPr>
          <w:p>
            <w:r>
              <w:rPr>
                <w:rFonts w:ascii="Times New Roman" w:hAnsi="Times New Roman" w:eastAsia="Times New Roman"/>
              </w:rPr>
            </w:r>
            <w:r>
              <w:rPr>
                <w:rFonts w:ascii="Times New Roman" w:hAnsi="Times New Roman" w:eastAsia="Times New Roman"/>
                <w:b w:val="0"/>
                <w:sz w:val="19"/>
              </w:rPr>
              <w:t>Chức vụ: {{ben_a_chuc_vu}}</w:t>
            </w:r>
          </w:p>
        </w:tc>
        <w:tc>
          <w:tcPr>
            <w:tcW w:type="dxa" w:w="5071"/>
            <w:vAlign w:val="top"/>
          </w:tcPr>
          <w:p>
            <w:r>
              <w:rPr>
                <w:rFonts w:ascii="Times New Roman" w:hAnsi="Times New Roman" w:eastAsia="Times New Roman"/>
              </w:rPr>
            </w:r>
            <w:r>
              <w:rPr>
                <w:rFonts w:ascii="Times New Roman" w:hAnsi="Times New Roman" w:eastAsia="Times New Roman"/>
                <w:b w:val="0"/>
                <w:sz w:val="19"/>
              </w:rPr>
              <w:t>Chức vụ: Giám đốc</w:t>
            </w:r>
          </w:p>
        </w:tc>
      </w:tr>
      <w:tr>
        <w:tc>
          <w:tcPr>
            <w:tcW w:type="dxa" w:w="5071"/>
            <w:vAlign w:val="top"/>
          </w:tcPr>
          <w:p>
            <w:r>
              <w:rPr>
                <w:rFonts w:ascii="Times New Roman" w:hAnsi="Times New Roman" w:eastAsia="Times New Roman"/>
              </w:rPr>
            </w:r>
            <w:r>
              <w:rPr>
                <w:rFonts w:ascii="Times New Roman" w:hAnsi="Times New Roman" w:eastAsia="Times New Roman"/>
                <w:b w:val="0"/>
                <w:sz w:val="19"/>
              </w:rPr>
              <w:t>Tài khoản: {{ben_a_tai_khoan}}</w:t>
            </w:r>
          </w:p>
        </w:tc>
        <w:tc>
          <w:tcPr>
            <w:tcW w:type="dxa" w:w="5071"/>
            <w:vAlign w:val="top"/>
          </w:tcPr>
          <w:p>
            <w:r>
              <w:rPr>
                <w:rFonts w:ascii="Times New Roman" w:hAnsi="Times New Roman" w:eastAsia="Times New Roman"/>
              </w:rPr>
            </w:r>
            <w:r>
              <w:rPr>
                <w:rFonts w:ascii="Times New Roman" w:hAnsi="Times New Roman" w:eastAsia="Times New Roman"/>
                <w:b w:val="0"/>
                <w:sz w:val="19"/>
              </w:rPr>
              <w:t>Tài khoản: 136822159</w:t>
            </w:r>
          </w:p>
        </w:tc>
      </w:tr>
      <w:tr>
        <w:tc>
          <w:tcPr>
            <w:tcW w:type="dxa" w:w="5071"/>
            <w:vAlign w:val="top"/>
          </w:tcPr>
          <w:p>
            <w:r>
              <w:rPr>
                <w:rFonts w:ascii="Times New Roman" w:hAnsi="Times New Roman" w:eastAsia="Times New Roman"/>
              </w:rPr>
            </w:r>
            <w:r>
              <w:rPr>
                <w:rFonts w:ascii="Times New Roman" w:hAnsi="Times New Roman" w:eastAsia="Times New Roman"/>
                <w:b w:val="0"/>
                <w:sz w:val="19"/>
              </w:rPr>
              <w:t>Ngân hàng: {{ben_a_ngan_hang}}</w:t>
            </w:r>
          </w:p>
        </w:tc>
        <w:tc>
          <w:tcPr>
            <w:tcW w:type="dxa" w:w="5071"/>
            <w:vAlign w:val="top"/>
          </w:tcPr>
          <w:p>
            <w:r>
              <w:rPr>
                <w:rFonts w:ascii="Times New Roman" w:hAnsi="Times New Roman" w:eastAsia="Times New Roman"/>
              </w:rPr>
            </w:r>
            <w:r>
              <w:rPr>
                <w:rFonts w:ascii="Times New Roman" w:hAnsi="Times New Roman" w:eastAsia="Times New Roman"/>
                <w:b w:val="0"/>
                <w:sz w:val="19"/>
              </w:rPr>
              <w:t>Ngân hàng: Ngân hàng ACB - Chi nhánh/PGD Long Bình Tân, Đồng Nai</w:t>
            </w:r>
          </w:p>
        </w:tc>
      </w:tr>
    </w:tbl>
    <w:p>
      <w:pPr>
        <w:spacing w:after="120" w:line="259" w:lineRule="auto"/>
      </w:pPr>
      <w:r>
        <w:rPr>
          <w:rFonts w:ascii="Times New Roman" w:hAnsi="Times New Roman" w:eastAsia="Times New Roman"/>
          <w:b w:val="0"/>
          <w:i w:val="0"/>
          <w:sz w:val="22"/>
        </w:rPr>
        <w:t>Sau khi bàn bạc trên tinh thần thiện chí, trung thực, bình đẳng và cùng có lợi, hai bên thống nhất ký kết Hợp đồng thi công, lắp đặt với các điều khoản sau:</w:t>
      </w:r>
    </w:p>
    <w:p>
      <w:pPr>
        <w:spacing w:after="80" w:line="259" w:lineRule="auto"/>
      </w:pPr>
      <w:r>
        <w:rPr>
          <w:rFonts w:ascii="Times New Roman" w:hAnsi="Times New Roman" w:eastAsia="Times New Roman"/>
          <w:b/>
          <w:i w:val="0"/>
          <w:sz w:val="24"/>
        </w:rPr>
        <w:t>Điều 1. Hồ sơ hợp đồng, phạm vi công việc và thứ tự ưu tiên</w:t>
      </w:r>
    </w:p>
    <w:p>
      <w:pPr>
        <w:pStyle w:val="ListNumber"/>
        <w:spacing w:after="40"/>
      </w:pPr>
      <w:r>
        <w:rPr>
          <w:rFonts w:ascii="Times New Roman" w:hAnsi="Times New Roman" w:eastAsia="Times New Roman"/>
          <w:sz w:val="22"/>
        </w:rPr>
        <w:t>Bên B thực hiện thi công, lắp đặt hệ thống/công trình/hạng mục: {{noi_dung_cong_viec}} tại địa điểm {{dia_diem_thi_cong}}.</w:t>
      </w:r>
    </w:p>
    <w:p>
      <w:pPr>
        <w:pStyle w:val="ListNumber"/>
        <w:spacing w:after="40"/>
      </w:pPr>
      <w:r>
        <w:rPr>
          <w:rFonts w:ascii="Times New Roman" w:hAnsi="Times New Roman" w:eastAsia="Times New Roman"/>
          <w:sz w:val="22"/>
        </w:rPr>
        <w:t>Hồ sơ hợp đồng gồm: Hợp đồng này, các phụ lục, báo giá/đơn đặt hàng/xác nhận đơn hàng, bản vẽ, thuyết minh kỹ thuật, biên bản khảo sát, biên bản giao nhận, biên bản nghiệm thu, bảng quyết toán, email/xác nhận điện tử và các tài liệu khác được hai bên xác nhận hợp lệ.</w:t>
      </w:r>
    </w:p>
    <w:p>
      <w:pPr>
        <w:pStyle w:val="ListNumber"/>
        <w:spacing w:after="40"/>
      </w:pPr>
      <w:r>
        <w:rPr>
          <w:rFonts w:ascii="Times New Roman" w:hAnsi="Times New Roman" w:eastAsia="Times New Roman"/>
          <w:sz w:val="22"/>
        </w:rPr>
        <w:t>Trường hợp có mâu thuẫn giữa các tài liệu, thứ tự ưu tiên áp dụng là: (i) phụ lục/biên bản phát sinh được ký sau cùng; (ii) Hợp đồng này; (iii) báo giá/đơn đặt hàng/xác nhận đơn hàng; (iv) bản vẽ/thuyết minh kỹ thuật; (v) biên bản khảo sát, giao nhận, nghiệm thu; (vi) email/xác nhận điện tử hợp lệ. Việc áp dụng thứ tự ưu tiên không được trái quy định pháp luật bắt buộc.</w:t>
      </w:r>
    </w:p>
    <w:p>
      <w:pPr>
        <w:pStyle w:val="ListNumber"/>
        <w:spacing w:after="40"/>
      </w:pPr>
      <w:r>
        <w:rPr>
          <w:rFonts w:ascii="Times New Roman" w:hAnsi="Times New Roman" w:eastAsia="Times New Roman"/>
          <w:sz w:val="22"/>
        </w:rPr>
        <w:t>Các công việc ngoài phạm vi hoặc phát sinh chỉ được thực hiện khi có xác nhận bằng văn bản/email hợp lệ của Bên A, trừ trường hợp khẩn cấp cần xử lý ngay để bảo đảm an toàn người, tài sản hoặc hạn chế thiệt hại.</w:t>
      </w:r>
    </w:p>
    <w:p>
      <w:pPr>
        <w:shd w:fill="F4F6F8"/>
      </w:pPr>
      <w:r>
        <w:rPr>
          <w:rFonts w:ascii="Times New Roman" w:hAnsi="Times New Roman" w:eastAsia="Times New Roman"/>
          <w:i/>
          <w:color w:val="545454"/>
          <w:sz w:val="18"/>
        </w:rPr>
        <w:t>Cơ sở pháp lý tham chiếu: Bộ luật Dân sự 2015 về nguyên tắc tự do, tự nguyện cam kết, thỏa thuận và nội dung hợp đồng; Luật Thương mại 2005 về giao dịch thương mại; Luật Giao dịch điện tử 2023 về thông điệp dữ liệu và giao kết/xác nhận điện tử khi hai bên có căn cứ xác thực.</w:t>
      </w:r>
    </w:p>
    <w:tbl>
      <w:tblPr>
        <w:tblStyle w:val="TableGrid"/>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68"/>
        <w:gridCol w:w="1268"/>
        <w:gridCol w:w="1268"/>
        <w:gridCol w:w="1268"/>
        <w:gridCol w:w="1268"/>
        <w:gridCol w:w="1268"/>
        <w:gridCol w:w="1268"/>
        <w:gridCol w:w="1268"/>
      </w:tblGrid>
      <w:tr>
        <w:trPr>
          <w:tblHeader w:val="true"/>
        </w:trPr>
        <w:tc>
          <w:tcPr>
            <w:tcW w:type="dxa" w:w="1268"/>
            <w:shd w:fill="D9EAF7"/>
          </w:tcPr>
          <w:p>
            <w:pPr>
              <w:jc w:val="center"/>
            </w:pPr>
            <w:r>
              <w:rPr>
                <w:rFonts w:ascii="Times New Roman" w:hAnsi="Times New Roman" w:eastAsia="Times New Roman"/>
              </w:rPr>
            </w:r>
            <w:r>
              <w:rPr>
                <w:rFonts w:ascii="Times New Roman" w:hAnsi="Times New Roman" w:eastAsia="Times New Roman"/>
                <w:b/>
                <w:sz w:val="17"/>
              </w:rPr>
              <w:t>STT</w:t>
            </w:r>
          </w:p>
        </w:tc>
        <w:tc>
          <w:tcPr>
            <w:tcW w:type="dxa" w:w="1268"/>
            <w:shd w:fill="D9EAF7"/>
          </w:tcPr>
          <w:p>
            <w:pPr>
              <w:jc w:val="center"/>
            </w:pPr>
            <w:r>
              <w:rPr>
                <w:rFonts w:ascii="Times New Roman" w:hAnsi="Times New Roman" w:eastAsia="Times New Roman"/>
              </w:rPr>
            </w:r>
            <w:r>
              <w:rPr>
                <w:rFonts w:ascii="Times New Roman" w:hAnsi="Times New Roman" w:eastAsia="Times New Roman"/>
                <w:b/>
                <w:sz w:val="17"/>
              </w:rPr>
              <w:t>Tên hàng hóa / hạng mục</w:t>
            </w:r>
          </w:p>
        </w:tc>
        <w:tc>
          <w:tcPr>
            <w:tcW w:type="dxa" w:w="1268"/>
            <w:shd w:fill="D9EAF7"/>
          </w:tcPr>
          <w:p>
            <w:pPr>
              <w:jc w:val="center"/>
            </w:pPr>
            <w:r>
              <w:rPr>
                <w:rFonts w:ascii="Times New Roman" w:hAnsi="Times New Roman" w:eastAsia="Times New Roman"/>
              </w:rPr>
            </w:r>
            <w:r>
              <w:rPr>
                <w:rFonts w:ascii="Times New Roman" w:hAnsi="Times New Roman" w:eastAsia="Times New Roman"/>
                <w:b/>
                <w:sz w:val="17"/>
              </w:rPr>
              <w:t>Quy cách / Model</w:t>
            </w:r>
          </w:p>
        </w:tc>
        <w:tc>
          <w:tcPr>
            <w:tcW w:type="dxa" w:w="1268"/>
            <w:shd w:fill="D9EAF7"/>
          </w:tcPr>
          <w:p>
            <w:pPr>
              <w:jc w:val="center"/>
            </w:pPr>
            <w:r>
              <w:rPr>
                <w:rFonts w:ascii="Times New Roman" w:hAnsi="Times New Roman" w:eastAsia="Times New Roman"/>
              </w:rPr>
            </w:r>
            <w:r>
              <w:rPr>
                <w:rFonts w:ascii="Times New Roman" w:hAnsi="Times New Roman" w:eastAsia="Times New Roman"/>
                <w:b/>
                <w:sz w:val="17"/>
              </w:rPr>
              <w:t>ĐVT</w:t>
            </w:r>
          </w:p>
        </w:tc>
        <w:tc>
          <w:tcPr>
            <w:tcW w:type="dxa" w:w="1268"/>
            <w:shd w:fill="D9EAF7"/>
          </w:tcPr>
          <w:p>
            <w:pPr>
              <w:jc w:val="center"/>
            </w:pPr>
            <w:r>
              <w:rPr>
                <w:rFonts w:ascii="Times New Roman" w:hAnsi="Times New Roman" w:eastAsia="Times New Roman"/>
              </w:rPr>
            </w:r>
            <w:r>
              <w:rPr>
                <w:rFonts w:ascii="Times New Roman" w:hAnsi="Times New Roman" w:eastAsia="Times New Roman"/>
                <w:b/>
                <w:sz w:val="17"/>
              </w:rPr>
              <w:t>Số lượng</w:t>
            </w:r>
          </w:p>
        </w:tc>
        <w:tc>
          <w:tcPr>
            <w:tcW w:type="dxa" w:w="1268"/>
            <w:shd w:fill="D9EAF7"/>
          </w:tcPr>
          <w:p>
            <w:pPr>
              <w:jc w:val="center"/>
            </w:pPr>
            <w:r>
              <w:rPr>
                <w:rFonts w:ascii="Times New Roman" w:hAnsi="Times New Roman" w:eastAsia="Times New Roman"/>
              </w:rPr>
            </w:r>
            <w:r>
              <w:rPr>
                <w:rFonts w:ascii="Times New Roman" w:hAnsi="Times New Roman" w:eastAsia="Times New Roman"/>
                <w:b/>
                <w:sz w:val="17"/>
              </w:rPr>
              <w:t>Đơn giá</w:t>
            </w:r>
          </w:p>
        </w:tc>
        <w:tc>
          <w:tcPr>
            <w:tcW w:type="dxa" w:w="1268"/>
            <w:shd w:fill="D9EAF7"/>
          </w:tcPr>
          <w:p>
            <w:pPr>
              <w:jc w:val="center"/>
            </w:pPr>
            <w:r>
              <w:rPr>
                <w:rFonts w:ascii="Times New Roman" w:hAnsi="Times New Roman" w:eastAsia="Times New Roman"/>
              </w:rPr>
            </w:r>
            <w:r>
              <w:rPr>
                <w:rFonts w:ascii="Times New Roman" w:hAnsi="Times New Roman" w:eastAsia="Times New Roman"/>
                <w:b/>
                <w:sz w:val="17"/>
              </w:rPr>
              <w:t>Thành tiền</w:t>
            </w:r>
          </w:p>
        </w:tc>
        <w:tc>
          <w:tcPr>
            <w:tcW w:type="dxa" w:w="1268"/>
            <w:shd w:fill="D9EAF7"/>
          </w:tcPr>
          <w:p>
            <w:pPr>
              <w:jc w:val="center"/>
            </w:pPr>
            <w:r>
              <w:rPr>
                <w:rFonts w:ascii="Times New Roman" w:hAnsi="Times New Roman" w:eastAsia="Times New Roman"/>
              </w:rPr>
            </w:r>
            <w:r>
              <w:rPr>
                <w:rFonts w:ascii="Times New Roman" w:hAnsi="Times New Roman" w:eastAsia="Times New Roman"/>
                <w:b/>
                <w:sz w:val="17"/>
              </w:rPr>
              <w:t>Ghi chú</w:t>
            </w:r>
          </w:p>
        </w:tc>
      </w:tr>
      <w:tr>
        <w:tc>
          <w:tcPr>
            <w:tcW w:type="dxa" w:w="1268"/>
          </w:tcPr>
          <w:p>
            <w:pPr>
              <w:jc w:val="center"/>
            </w:pPr>
            <w:r>
              <w:rPr>
                <w:rFonts w:ascii="Times New Roman" w:hAnsi="Times New Roman" w:eastAsia="Times New Roman"/>
              </w:rPr>
            </w:r>
            <w:r>
              <w:rPr>
                <w:rFonts w:ascii="Times New Roman" w:hAnsi="Times New Roman" w:eastAsia="Times New Roman"/>
                <w:b w:val="0"/>
                <w:sz w:val="17"/>
              </w:rPr>
              <w:t>1</w:t>
            </w:r>
          </w:p>
        </w:tc>
        <w:tc>
          <w:tcPr>
            <w:tcW w:type="dxa" w:w="1268"/>
          </w:tcPr>
          <w:p>
            <w:r>
              <w:rPr>
                <w:rFonts w:ascii="Times New Roman" w:hAnsi="Times New Roman" w:eastAsia="Times New Roman"/>
              </w:rPr>
            </w:r>
            <w:r>
              <w:rPr>
                <w:rFonts w:ascii="Times New Roman" w:hAnsi="Times New Roman" w:eastAsia="Times New Roman"/>
                <w:b w:val="0"/>
                <w:sz w:val="17"/>
              </w:rPr>
              <w:t>{{ten_hang_muc_1}}</w:t>
            </w:r>
          </w:p>
        </w:tc>
        <w:tc>
          <w:tcPr>
            <w:tcW w:type="dxa" w:w="1268"/>
          </w:tcPr>
          <w:p>
            <w:r>
              <w:rPr>
                <w:rFonts w:ascii="Times New Roman" w:hAnsi="Times New Roman" w:eastAsia="Times New Roman"/>
              </w:rPr>
            </w:r>
            <w:r>
              <w:rPr>
                <w:rFonts w:ascii="Times New Roman" w:hAnsi="Times New Roman" w:eastAsia="Times New Roman"/>
                <w:b w:val="0"/>
                <w:sz w:val="17"/>
              </w:rPr>
              <w:t>{{quy_cach_1}}</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{{dvt_1}}</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{{so_luong_1}}</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{{don_gia_1}}</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{{thanh_tien_1}}</w:t>
            </w:r>
          </w:p>
        </w:tc>
        <w:tc>
          <w:tcPr>
            <w:tcW w:type="dxa" w:w="1268"/>
          </w:tcPr>
          <w:p>
            <w:r>
              <w:rPr>
                <w:rFonts w:ascii="Times New Roman" w:hAnsi="Times New Roman" w:eastAsia="Times New Roman"/>
              </w:rPr>
            </w:r>
            <w:r>
              <w:rPr>
                <w:rFonts w:ascii="Times New Roman" w:hAnsi="Times New Roman" w:eastAsia="Times New Roman"/>
                <w:b w:val="0"/>
                <w:sz w:val="17"/>
              </w:rPr>
              <w:t>{{ghi_chu_1}}</w:t>
            </w:r>
          </w:p>
        </w:tc>
      </w:tr>
      <w:tr>
        <w:tc>
          <w:tcPr>
            <w:tcW w:type="dxa" w:w="1268"/>
          </w:tcPr>
          <w:p>
            <w:pPr>
              <w:jc w:val="center"/>
            </w:pPr>
            <w:r>
              <w:rPr>
                <w:rFonts w:ascii="Times New Roman" w:hAnsi="Times New Roman" w:eastAsia="Times New Roman"/>
              </w:rPr>
            </w:r>
            <w:r>
              <w:rPr>
                <w:rFonts w:ascii="Times New Roman" w:hAnsi="Times New Roman" w:eastAsia="Times New Roman"/>
                <w:b w:val="0"/>
                <w:sz w:val="17"/>
              </w:rPr>
              <w:t>2</w:t>
            </w:r>
          </w:p>
        </w:tc>
        <w:tc>
          <w:tcPr>
            <w:tcW w:type="dxa" w:w="1268"/>
          </w:tcPr>
          <w:p>
            <w:r>
              <w:rPr>
                <w:rFonts w:ascii="Times New Roman" w:hAnsi="Times New Roman" w:eastAsia="Times New Roman"/>
              </w:rPr>
            </w:r>
            <w:r>
              <w:rPr>
                <w:rFonts w:ascii="Times New Roman" w:hAnsi="Times New Roman" w:eastAsia="Times New Roman"/>
                <w:b w:val="0"/>
                <w:sz w:val="17"/>
              </w:rPr>
              <w:t>{{ten_hang_muc_2}}</w:t>
            </w:r>
          </w:p>
        </w:tc>
        <w:tc>
          <w:tcPr>
            <w:tcW w:type="dxa" w:w="1268"/>
          </w:tcPr>
          <w:p>
            <w:r>
              <w:rPr>
                <w:rFonts w:ascii="Times New Roman" w:hAnsi="Times New Roman" w:eastAsia="Times New Roman"/>
              </w:rPr>
            </w:r>
            <w:r>
              <w:rPr>
                <w:rFonts w:ascii="Times New Roman" w:hAnsi="Times New Roman" w:eastAsia="Times New Roman"/>
                <w:b w:val="0"/>
                <w:sz w:val="17"/>
              </w:rPr>
              <w:t>{{quy_cach_2}}</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{{dvt_2}}</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{{so_luong_2}}</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{{don_gia_2}}</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{{thanh_tien_2}}</w:t>
            </w:r>
          </w:p>
        </w:tc>
        <w:tc>
          <w:tcPr>
            <w:tcW w:type="dxa" w:w="1268"/>
          </w:tcPr>
          <w:p>
            <w:r>
              <w:rPr>
                <w:rFonts w:ascii="Times New Roman" w:hAnsi="Times New Roman" w:eastAsia="Times New Roman"/>
              </w:rPr>
            </w:r>
            <w:r>
              <w:rPr>
                <w:rFonts w:ascii="Times New Roman" w:hAnsi="Times New Roman" w:eastAsia="Times New Roman"/>
                <w:b w:val="0"/>
                <w:sz w:val="17"/>
              </w:rPr>
              <w:t>{{ghi_chu_2}}</w:t>
            </w:r>
          </w:p>
        </w:tc>
      </w:tr>
      <w:tr>
        <w:tc>
          <w:tcPr>
            <w:tcW w:type="dxa" w:w="1268"/>
          </w:tcPr>
          <w:p>
            <w:pPr>
              <w:jc w:val="center"/>
            </w:pPr>
            <w:r>
              <w:rPr>
                <w:rFonts w:ascii="Times New Roman" w:hAnsi="Times New Roman" w:eastAsia="Times New Roman"/>
              </w:rPr>
            </w:r>
            <w:r>
              <w:rPr>
                <w:rFonts w:ascii="Times New Roman" w:hAnsi="Times New Roman" w:eastAsia="Times New Roman"/>
                <w:b w:val="0"/>
                <w:sz w:val="17"/>
              </w:rPr>
              <w:t>3</w:t>
            </w:r>
          </w:p>
        </w:tc>
        <w:tc>
          <w:tcPr>
            <w:tcW w:type="dxa" w:w="1268"/>
          </w:tcPr>
          <w:p>
            <w:r>
              <w:rPr>
                <w:rFonts w:ascii="Times New Roman" w:hAnsi="Times New Roman" w:eastAsia="Times New Roman"/>
              </w:rPr>
            </w:r>
            <w:r>
              <w:rPr>
                <w:rFonts w:ascii="Times New Roman" w:hAnsi="Times New Roman" w:eastAsia="Times New Roman"/>
                <w:b w:val="0"/>
                <w:sz w:val="17"/>
              </w:rPr>
              <w:t>{{ten_hang_muc_3}}</w:t>
            </w:r>
          </w:p>
        </w:tc>
        <w:tc>
          <w:tcPr>
            <w:tcW w:type="dxa" w:w="1268"/>
          </w:tcPr>
          <w:p>
            <w:r>
              <w:rPr>
                <w:rFonts w:ascii="Times New Roman" w:hAnsi="Times New Roman" w:eastAsia="Times New Roman"/>
              </w:rPr>
            </w:r>
            <w:r>
              <w:rPr>
                <w:rFonts w:ascii="Times New Roman" w:hAnsi="Times New Roman" w:eastAsia="Times New Roman"/>
                <w:b w:val="0"/>
                <w:sz w:val="17"/>
              </w:rPr>
              <w:t>{{quy_cach_3}}</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{{dvt_3}}</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{{so_luong_3}}</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{{don_gia_3}}</w:t>
            </w:r>
          </w:p>
        </w:tc>
        <w:tc>
          <w:tcPr>
            <w:tcW w:type="dxa" w:w="1268"/>
          </w:tcPr>
          <w:p>
            <w:pPr>
              <w:jc w:val="center"/>
            </w:pPr>
            <w:r>
              <w:rPr>
                <w:rFonts w:ascii="Times New Roman" w:hAnsi="Times New Roman" w:eastAsia="Times New Roman"/>
              </w:rPr>
            </w:r>
            <w:r>
              <w:rPr>
                <w:rFonts w:ascii="Times New Roman" w:hAnsi="Times New Roman" w:eastAsia="Times New Roman"/>
                <w:b w:val="0"/>
                <w:sz w:val="17"/>
              </w:rPr>
              <w:t>{{thanh_tien_3}}</w:t>
            </w:r>
          </w:p>
        </w:tc>
        <w:tc>
          <w:tcPr>
            <w:tcW w:type="dxa" w:w="1268"/>
          </w:tcPr>
          <w:p>
            <w:r>
              <w:rPr>
                <w:rFonts w:ascii="Times New Roman" w:hAnsi="Times New Roman" w:eastAsia="Times New Roman"/>
              </w:rPr>
            </w:r>
            <w:r>
              <w:rPr>
                <w:rFonts w:ascii="Times New Roman" w:hAnsi="Times New Roman" w:eastAsia="Times New Roman"/>
                <w:b w:val="0"/>
                <w:sz w:val="17"/>
              </w:rPr>
              <w:t>{{ghi_chu_3}}</w:t>
            </w:r>
          </w:p>
        </w:tc>
      </w:tr>
    </w:tbl>
    <w:p>
      <w:pPr>
        <w:spacing w:after="80" w:line="259" w:lineRule="auto"/>
      </w:pPr>
      <w:r>
        <w:rPr>
          <w:rFonts w:ascii="Times New Roman" w:hAnsi="Times New Roman" w:eastAsia="Times New Roman"/>
          <w:b/>
          <w:i w:val="0"/>
          <w:sz w:val="24"/>
        </w:rPr>
        <w:t>Điều 2. Giá trị hợp đồng, thuế và điều chỉnh giá</w:t>
      </w:r>
    </w:p>
    <w:p>
      <w:pPr>
        <w:pStyle w:val="ListNumber"/>
        <w:spacing w:after="40"/>
      </w:pPr>
      <w:r>
        <w:rPr>
          <w:rFonts w:ascii="Times New Roman" w:hAnsi="Times New Roman" w:eastAsia="Times New Roman"/>
          <w:sz w:val="22"/>
        </w:rPr>
        <w:t>Giá trị hợp đồng tạm tính/chốt: {{gia_tri_hop_dong}} VNĐ; VAT: {{vat_rate}}%; Tổng thanh toán: {{tong_thanh_toan}} VNĐ. Giá trị cụ thể được xác định theo báo giá/phụ lục và bảng khối lượng được hai bên xác nhận.</w:t>
      </w:r>
    </w:p>
    <w:p>
      <w:pPr>
        <w:pStyle w:val="ListNumber"/>
        <w:spacing w:after="40"/>
      </w:pPr>
      <w:r>
        <w:rPr>
          <w:rFonts w:ascii="Times New Roman" w:hAnsi="Times New Roman" w:eastAsia="Times New Roman"/>
          <w:sz w:val="22"/>
        </w:rPr>
        <w:t>Giá có thể được xác định là đã bao gồm VAT hoặc chưa bao gồm VAT theo báo giá/phụ lục/hóa đơn tương ứng. Trường hợp cách hiểu không rõ, hai bên sẽ ưu tiên áp dụng thông tin trên hóa đơn/chứng từ hợp lệ và quy định pháp luật tại thời điểm phát sinh.</w:t>
      </w:r>
    </w:p>
    <w:p>
      <w:pPr>
        <w:pStyle w:val="ListNumber"/>
        <w:spacing w:after="40"/>
      </w:pPr>
      <w:r>
        <w:rPr>
          <w:rFonts w:ascii="Times New Roman" w:hAnsi="Times New Roman" w:eastAsia="Times New Roman"/>
          <w:sz w:val="22"/>
        </w:rPr>
        <w:t>Trường hợp biến động giá vật tư, chi phí vận chuyển, chi phí nhân công, chính sách thuế/phí, thay đổi thiết kế, thay đổi biện pháp thi công hoặc điều kiện hiện trường khác với thông tin ban đầu làm thay đổi giá thành, Bên B có quyền đề xuất điều chỉnh giá, tiến độ và phương án thực hiện. Việc điều chỉnh có hiệu lực khi Bên A xác nhận bằng văn bản/email hợp lệ.</w:t>
      </w:r>
    </w:p>
    <w:p>
      <w:pPr>
        <w:pStyle w:val="ListNumber"/>
        <w:spacing w:after="40"/>
      </w:pPr>
      <w:r>
        <w:rPr>
          <w:rFonts w:ascii="Times New Roman" w:hAnsi="Times New Roman" w:eastAsia="Times New Roman"/>
          <w:sz w:val="22"/>
        </w:rPr>
        <w:t>Mọi phát sinh ngoài phạm vi hợp đồng phải được Bên A xác nhận trước khi thực hiện. Nếu Bên A yêu cầu xử lý khẩn cấp bằng miệng vì lý do an toàn hoặc vận hành, Bên A phải xác nhận lại bằng văn bản/email trong vòng 02 ngày làm việc kể từ khi Bên B gửi xác nhận nội dung phát sinh.</w:t>
      </w:r>
    </w:p>
    <w:p>
      <w:pPr>
        <w:shd w:fill="F4F6F8"/>
      </w:pPr>
      <w:r>
        <w:rPr>
          <w:rFonts w:ascii="Times New Roman" w:hAnsi="Times New Roman" w:eastAsia="Times New Roman"/>
          <w:i/>
          <w:color w:val="545454"/>
          <w:sz w:val="18"/>
        </w:rPr>
        <w:t>Cơ sở pháp lý tham chiếu: Bộ luật Dân sự 2015 về giá, nghĩa vụ thanh toán và sửa đổi/thỏa thuận hợp đồng; Luật Thương mại 2005 về giá hàng hóa/dịch vụ, nghĩa vụ cung cấp chứng từ, hóa đơn, điều chỉnh giao dịch theo thỏa thuận; quy định thuế, hóa đơn hiện hành áp dụng tại thời điểm phát sinh.</w:t>
      </w:r>
    </w:p>
    <w:p>
      <w:pPr>
        <w:spacing w:after="80" w:line="259" w:lineRule="auto"/>
      </w:pPr>
      <w:r>
        <w:rPr>
          <w:rFonts w:ascii="Times New Roman" w:hAnsi="Times New Roman" w:eastAsia="Times New Roman"/>
          <w:b/>
          <w:i w:val="0"/>
          <w:sz w:val="24"/>
        </w:rPr>
        <w:t>Điều 3. Tiến độ thực hiện và điều kiện thi công</w:t>
      </w:r>
    </w:p>
    <w:p>
      <w:pPr>
        <w:pStyle w:val="ListNumber"/>
        <w:spacing w:after="40"/>
      </w:pPr>
      <w:r>
        <w:rPr>
          <w:rFonts w:ascii="Times New Roman" w:hAnsi="Times New Roman" w:eastAsia="Times New Roman"/>
          <w:sz w:val="22"/>
        </w:rPr>
        <w:t>Ngày bắt đầu: {{ngay_bat_dau}}. Ngày hoàn thành dự kiến: {{ngay_hoan_thanh}}. Các mốc thực hiện: Giai đoạn 1 {{giai_doan_1}}; Giai đoạn 2 {{giai_doan_2}}; Giai đoạn 3 {{giai_doan_3}}.</w:t>
      </w:r>
    </w:p>
    <w:p>
      <w:pPr>
        <w:pStyle w:val="ListNumber"/>
        <w:spacing w:after="40"/>
      </w:pPr>
      <w:r>
        <w:rPr>
          <w:rFonts w:ascii="Times New Roman" w:hAnsi="Times New Roman" w:eastAsia="Times New Roman"/>
          <w:sz w:val="22"/>
        </w:rPr>
        <w:t>Tiến độ được tính trên cơ sở Bên A bàn giao mặt bằng, điều kiện thi công, thông tin kỹ thuật, phê duyệt vật tư/bản vẽ, thanh toán và phối hợp nghiệm thu đúng thời hạn.</w:t>
      </w:r>
    </w:p>
    <w:p>
      <w:pPr>
        <w:pStyle w:val="ListNumber"/>
        <w:spacing w:after="40"/>
      </w:pPr>
      <w:r>
        <w:rPr>
          <w:rFonts w:ascii="Times New Roman" w:hAnsi="Times New Roman" w:eastAsia="Times New Roman"/>
          <w:sz w:val="22"/>
        </w:rPr>
        <w:t>Nếu Bên A chậm bàn giao mặt bằng, chậm phê duyệt, chậm thanh toán, thay đổi yêu cầu, không cung cấp điều kiện thi công hoặc có yếu tố khách quan ngoài phạm vi kiểm soát của Bên B, tiến độ được gia hạn tương ứng với thời gian bị ảnh hưởng và chi phí phát sinh hợp lý, nếu có, được hai bên xác nhận bổ sung.</w:t>
      </w:r>
    </w:p>
    <w:p>
      <w:pPr>
        <w:spacing w:after="80" w:line="259" w:lineRule="auto"/>
      </w:pPr>
      <w:r>
        <w:rPr>
          <w:rFonts w:ascii="Times New Roman" w:hAnsi="Times New Roman" w:eastAsia="Times New Roman"/>
          <w:b/>
          <w:i w:val="0"/>
          <w:sz w:val="24"/>
        </w:rPr>
        <w:t>Điều 4. Trách nhiệm của Bên B</w:t>
      </w:r>
    </w:p>
    <w:p>
      <w:pPr>
        <w:pStyle w:val="ListNumber"/>
        <w:spacing w:after="40"/>
      </w:pPr>
      <w:r>
        <w:rPr>
          <w:rFonts w:ascii="Times New Roman" w:hAnsi="Times New Roman" w:eastAsia="Times New Roman"/>
          <w:sz w:val="22"/>
        </w:rPr>
        <w:t>Thi công, lắp đặt đúng phạm vi, thiết kế, quy chuẩn kỹ thuật, tiêu chuẩn an toàn và thỏa thuận của hai bên.</w:t>
      </w:r>
    </w:p>
    <w:p>
      <w:pPr>
        <w:pStyle w:val="ListNumber"/>
        <w:spacing w:after="40"/>
      </w:pPr>
      <w:r>
        <w:rPr>
          <w:rFonts w:ascii="Times New Roman" w:hAnsi="Times New Roman" w:eastAsia="Times New Roman"/>
          <w:sz w:val="22"/>
        </w:rPr>
        <w:t>Bố trí nhân sự, dụng cụ, thiết bị phù hợp; bảo vệ tài sản/mặt bằng do Bên A bàn giao trong phạm vi trách nhiệm của Bên B.</w:t>
      </w:r>
    </w:p>
    <w:p>
      <w:pPr>
        <w:pStyle w:val="ListNumber"/>
        <w:spacing w:after="40"/>
      </w:pPr>
      <w:r>
        <w:rPr>
          <w:rFonts w:ascii="Times New Roman" w:hAnsi="Times New Roman" w:eastAsia="Times New Roman"/>
          <w:sz w:val="22"/>
        </w:rPr>
        <w:t>Thông báo kịp thời cho Bên A các vướng mắc kỹ thuật, phát sinh khối lượng, điều kiện thi công không an toàn hoặc vượt ngoài phạm vi đã khảo sát.</w:t>
      </w:r>
    </w:p>
    <w:p>
      <w:pPr>
        <w:pStyle w:val="ListNumber"/>
        <w:spacing w:after="40"/>
      </w:pPr>
      <w:r>
        <w:rPr>
          <w:rFonts w:ascii="Times New Roman" w:hAnsi="Times New Roman" w:eastAsia="Times New Roman"/>
          <w:sz w:val="22"/>
        </w:rPr>
        <w:t>Bàn giao hồ sơ hoàn công, tài liệu kỹ thuật, hướng dẫn vận hành, phiếu bảo hành và các tài liệu khác trong phạm vi đã cam kết.</w:t>
      </w:r>
    </w:p>
    <w:p>
      <w:pPr>
        <w:spacing w:after="80" w:line="259" w:lineRule="auto"/>
      </w:pPr>
      <w:r>
        <w:rPr>
          <w:rFonts w:ascii="Times New Roman" w:hAnsi="Times New Roman" w:eastAsia="Times New Roman"/>
          <w:b/>
          <w:i w:val="0"/>
          <w:sz w:val="24"/>
        </w:rPr>
        <w:t>Điều 5. Trách nhiệm của Bên A</w:t>
      </w:r>
    </w:p>
    <w:p>
      <w:pPr>
        <w:pStyle w:val="ListNumber"/>
        <w:spacing w:after="40"/>
      </w:pPr>
      <w:r>
        <w:rPr>
          <w:rFonts w:ascii="Times New Roman" w:hAnsi="Times New Roman" w:eastAsia="Times New Roman"/>
          <w:sz w:val="22"/>
        </w:rPr>
        <w:t>Bàn giao mặt bằng, nguồn điện, nguồn nước, lối vào, vị trí tập kết vật tư và các điều kiện thi công đúng thỏa thuận.</w:t>
      </w:r>
    </w:p>
    <w:p>
      <w:pPr>
        <w:pStyle w:val="ListNumber"/>
        <w:spacing w:after="40"/>
      </w:pPr>
      <w:r>
        <w:rPr>
          <w:rFonts w:ascii="Times New Roman" w:hAnsi="Times New Roman" w:eastAsia="Times New Roman"/>
          <w:sz w:val="22"/>
        </w:rPr>
        <w:t>Cử người có thẩm quyền giám sát, xác nhận khối lượng, nghiệm thu, xác nhận phát sinh và phối hợp xử lý vướng mắc hiện trường.</w:t>
      </w:r>
    </w:p>
    <w:p>
      <w:pPr>
        <w:pStyle w:val="ListNumber"/>
        <w:spacing w:after="40"/>
      </w:pPr>
      <w:r>
        <w:rPr>
          <w:rFonts w:ascii="Times New Roman" w:hAnsi="Times New Roman" w:eastAsia="Times New Roman"/>
          <w:sz w:val="22"/>
        </w:rPr>
        <w:t>Thanh toán đúng hạn, cung cấp thông tin xuất hóa đơn chính xác và không tự ý thay đổi phương án kỹ thuật khi chưa có xác nhận của Bên B.</w:t>
      </w:r>
    </w:p>
    <w:p>
      <w:pPr>
        <w:pStyle w:val="ListNumber"/>
        <w:spacing w:after="40"/>
      </w:pPr>
      <w:r>
        <w:rPr>
          <w:rFonts w:ascii="Times New Roman" w:hAnsi="Times New Roman" w:eastAsia="Times New Roman"/>
          <w:sz w:val="22"/>
        </w:rPr>
        <w:t>Chịu trách nhiệm về tính chính xác, đầy đủ của thông tin, bản vẽ, mặt bằng, yêu cầu kỹ thuật và các chỉ dẫn do Bên A cung cấp.</w:t>
      </w:r>
    </w:p>
    <w:p>
      <w:pPr>
        <w:spacing w:after="80" w:line="259" w:lineRule="auto"/>
      </w:pPr>
      <w:r>
        <w:rPr>
          <w:rFonts w:ascii="Times New Roman" w:hAnsi="Times New Roman" w:eastAsia="Times New Roman"/>
          <w:b/>
          <w:i w:val="0"/>
          <w:sz w:val="24"/>
        </w:rPr>
        <w:t>Điều 6. Thanh toán, hồ sơ thanh toán và lãi chậm trả</w:t>
      </w:r>
    </w:p>
    <w:p>
      <w:pPr>
        <w:pStyle w:val="ListNumber"/>
        <w:spacing w:after="40"/>
      </w:pPr>
      <w:r>
        <w:rPr>
          <w:rFonts w:ascii="Times New Roman" w:hAnsi="Times New Roman" w:eastAsia="Times New Roman"/>
          <w:sz w:val="22"/>
        </w:rPr>
        <w:t>Bên A thanh toán theo tiến độ: Đợt 1 {{dot_1_pct}}%; Đợt 2 {{dot_2_pct}}%; Đợt 3 {{dot_3_pct}}%; Đợt cuối {{dot_cuoi_pct}}% theo thời hạn tương ứng ghi tại phụ lục/báo giá/xác nhận thanh toán.</w:t>
      </w:r>
    </w:p>
    <w:p>
      <w:pPr>
        <w:pStyle w:val="ListNumber"/>
        <w:spacing w:after="40"/>
      </w:pPr>
      <w:r>
        <w:rPr>
          <w:rFonts w:ascii="Times New Roman" w:hAnsi="Times New Roman" w:eastAsia="Times New Roman"/>
          <w:sz w:val="22"/>
        </w:rPr>
        <w:t>Hồ sơ thanh toán hợp lệ có thể gồm: thư đề nghị thanh toán, biên bản nghiệm thu, biên bản bàn giao, bảng xác nhận khối lượng, bảng quyết toán, hóa đơn VAT, phiếu giao hàng/xuất kho, tài liệu kỹ thuật và các chứng từ khác theo thỏa thuận.</w:t>
      </w:r>
    </w:p>
    <w:p>
      <w:pPr>
        <w:pStyle w:val="ListNumber"/>
        <w:spacing w:after="40"/>
      </w:pPr>
      <w:r>
        <w:rPr>
          <w:rFonts w:ascii="Times New Roman" w:hAnsi="Times New Roman" w:eastAsia="Times New Roman"/>
          <w:sz w:val="22"/>
        </w:rPr>
        <w:t>Nếu Bên A chậm thanh toán bất kỳ khoản tiền nào quá 07 (bảy) ngày kể từ ngày đến hạn, Bên B có quyền yêu cầu Bên A trả lãi chậm thanh toán tính trên số tiền chậm trả với mức 1,5%/tháng, tương đương 18%/năm, tính từ ngày đến hạn thanh toán đến ngày Bên A thanh toán đầy đủ trên thực tế. Trường hợp pháp luật tại thời điểm phát sinh quy định mức tối đa thấp hơn, mức lãi chậm trả được tự động điều chỉnh về mức tối đa được phép áp dụng.</w:t>
      </w:r>
    </w:p>
    <w:p>
      <w:pPr>
        <w:pStyle w:val="ListNumber"/>
        <w:spacing w:after="40"/>
      </w:pPr>
      <w:r>
        <w:rPr>
          <w:rFonts w:ascii="Times New Roman" w:hAnsi="Times New Roman" w:eastAsia="Times New Roman"/>
          <w:sz w:val="22"/>
        </w:rPr>
        <w:t>Khi Bên A chậm thanh toán, Bên B có quyền tạm ngừng toàn bộ hoặc một phần công việc thi công/lắp đặt, kéo dài tiến độ tương ứng với thời gian tạm ngừng, không tiếp tục phần việc tiếp theo cho đến khi Bên A thanh toán khoản đến hạn và lãi chậm trả, đồng thời yêu cầu Bên A bồi thường các chi phí phát sinh hợp lý do việc tạm ngừng gây ra như chi phí huy động/giải phóng nhân sự, thiết bị, bảo quản vật tư tại công trường.</w:t>
      </w:r>
    </w:p>
    <w:p>
      <w:pPr>
        <w:pStyle w:val="ListNumber"/>
        <w:spacing w:after="40"/>
      </w:pPr>
      <w:r>
        <w:rPr>
          <w:rFonts w:ascii="Times New Roman" w:hAnsi="Times New Roman" w:eastAsia="Times New Roman"/>
          <w:sz w:val="22"/>
        </w:rPr>
        <w:t>Việc Bên B thực hiện các quyền nêu tại Điều này không bị xem là vi phạm hợp đồng và không làm mất quyền yêu cầu phạt vi phạm và/hoặc bồi thường thiệt hại của Bên B nếu có căn cứ.</w:t>
      </w:r>
    </w:p>
    <w:p>
      <w:pPr>
        <w:shd w:fill="F4F6F8"/>
      </w:pPr>
      <w:r>
        <w:rPr>
          <w:rFonts w:ascii="Times New Roman" w:hAnsi="Times New Roman" w:eastAsia="Times New Roman"/>
          <w:i/>
          <w:color w:val="545454"/>
          <w:sz w:val="18"/>
        </w:rPr>
        <w:t>Cơ sở pháp lý tham chiếu: Luật Thương mại 2005 Điều 306 về lãi chậm thanh toán; Bộ luật Dân sự 2015 Điều 357 và Điều 468 về trách nhiệm do chậm thực hiện nghĩa vụ trả tiền/lãi suất; Nghị quyết 01/2019/NQ-HĐTP Điều 11 về xác định lãi, lãi suất trong giải quyết tranh chấp; Luật Thương mại 2005 Điều 308 về tạm ngừng thực hiện hợp đồng; Bộ luật Dân sự 2015 Điều 351 về trách nhiệm do vi phạm nghĩa vụ.</w:t>
      </w:r>
    </w:p>
    <w:p>
      <w:pPr>
        <w:spacing w:after="80" w:line="259" w:lineRule="auto"/>
      </w:pPr>
      <w:r>
        <w:rPr>
          <w:rFonts w:ascii="Times New Roman" w:hAnsi="Times New Roman" w:eastAsia="Times New Roman"/>
          <w:b/>
          <w:i w:val="0"/>
          <w:sz w:val="24"/>
        </w:rPr>
        <w:t>Điều 7. Nghiệm thu, bàn giao và nghiệm thu mặc nhiên</w:t>
      </w:r>
    </w:p>
    <w:p>
      <w:pPr>
        <w:pStyle w:val="ListNumber"/>
        <w:spacing w:after="40"/>
      </w:pPr>
      <w:r>
        <w:rPr>
          <w:rFonts w:ascii="Times New Roman" w:hAnsi="Times New Roman" w:eastAsia="Times New Roman"/>
          <w:sz w:val="22"/>
        </w:rPr>
        <w:t>Khi hoàn thành từng giai đoạn hoặc toàn bộ công việc, Bên B gửi thông báo nghiệm thu bằng văn bản/email hợp lệ cho Bên A. Hai bên tiến hành kiểm tra, nghiệm thu và lập biên bản trong vòng 05 (năm) ngày làm việc kể từ ngày Bên A nhận được thông báo nghiệm thu.</w:t>
      </w:r>
    </w:p>
    <w:p>
      <w:pPr>
        <w:pStyle w:val="ListNumber"/>
        <w:spacing w:after="40"/>
      </w:pPr>
      <w:r>
        <w:rPr>
          <w:rFonts w:ascii="Times New Roman" w:hAnsi="Times New Roman" w:eastAsia="Times New Roman"/>
          <w:sz w:val="22"/>
        </w:rPr>
        <w:t>Nếu Bên A không có ý kiến phản đối bằng văn bản hoặc không tham gia nghiệm thu trong thời hạn 07 (bảy) ngày làm việc kể từ ngày nhận thông báo nghiệm thu của Bên B, kết quả nghiệm thu được xem là đã được Bên A chấp nhận toàn bộ, trừ các lỗi ẩn không thể phát hiện bằng kiểm tra thông thường tại thời điểm nghiệm thu. Trong trường hợp này, Bên B có quyền lập biên bản nghiệm thu đơn phương và sử dụng làm căn cứ thanh toán, đối chiếu công nợ, bảo hành và lưu hồ sơ.</w:t>
      </w:r>
    </w:p>
    <w:p>
      <w:pPr>
        <w:pStyle w:val="ListNumber"/>
        <w:spacing w:after="40"/>
      </w:pPr>
      <w:r>
        <w:rPr>
          <w:rFonts w:ascii="Times New Roman" w:hAnsi="Times New Roman" w:eastAsia="Times New Roman"/>
          <w:sz w:val="22"/>
        </w:rPr>
        <w:t>Việc Bên A đưa bất kỳ hạng mục nào vào sử dụng thực tế mà không có phản đối bằng văn bản gửi cho Bên B trong vòng 03 (ba) ngày làm việc kể từ ngày bắt đầu sử dụng được xem là căn cứ xác nhận khối lượng đã thực hiện và xác nhận hạng mục đó đáp ứng yêu cầu kỹ thuật/chất lượng theo Hợp đồng, trừ lỗi ẩn thuộc trách nhiệm của Bên B.</w:t>
      </w:r>
    </w:p>
    <w:p>
      <w:pPr>
        <w:pStyle w:val="ListNumber"/>
        <w:spacing w:after="40"/>
      </w:pPr>
      <w:r>
        <w:rPr>
          <w:rFonts w:ascii="Times New Roman" w:hAnsi="Times New Roman" w:eastAsia="Times New Roman"/>
          <w:sz w:val="22"/>
        </w:rPr>
        <w:t>Bên A không được từ chối hoặc trì hoãn nghiệm thu mà không nêu lý do kỹ thuật cụ thể bằng văn bản. Việc từ chối nghiệm thu không có lý do kỹ thuật hợp lệ được xem là vi phạm nghĩa vụ phối hợp nghiệm thu và thanh toán.</w:t>
      </w:r>
    </w:p>
    <w:p>
      <w:pPr>
        <w:shd w:fill="F4F6F8"/>
      </w:pPr>
      <w:r>
        <w:rPr>
          <w:rFonts w:ascii="Times New Roman" w:hAnsi="Times New Roman" w:eastAsia="Times New Roman"/>
          <w:i/>
          <w:color w:val="545454"/>
          <w:sz w:val="18"/>
        </w:rPr>
        <w:t>Cơ sở pháp lý tham chiếu: Bộ luật Dân sự 2015 Điều 385 về khái niệm hợp đồng, Điều 394 về thời hạn trả lời chấp nhận giao kết, Điều 400 về thời điểm giao kết/hình thức chấp nhận; nguyên tắc các bên được thỏa thuận cơ chế nghiệm thu, nghiệm thu mặc nhiên và chứng cứ sử dụng thực tế nếu điều khoản rõ ràng.</w:t>
      </w:r>
    </w:p>
    <w:p>
      <w:pPr>
        <w:spacing w:after="80" w:line="259" w:lineRule="auto"/>
      </w:pPr>
      <w:r>
        <w:rPr>
          <w:rFonts w:ascii="Times New Roman" w:hAnsi="Times New Roman" w:eastAsia="Times New Roman"/>
          <w:b/>
          <w:i w:val="0"/>
          <w:sz w:val="24"/>
        </w:rPr>
        <w:t>Điều 8. Bảo hành</w:t>
      </w:r>
    </w:p>
    <w:p>
      <w:pPr>
        <w:pStyle w:val="ListNumber"/>
        <w:spacing w:after="40"/>
      </w:pPr>
      <w:r>
        <w:rPr>
          <w:rFonts w:ascii="Times New Roman" w:hAnsi="Times New Roman" w:eastAsia="Times New Roman"/>
          <w:sz w:val="22"/>
        </w:rPr>
        <w:t>Thời hạn bảo hành phần thi công, lắp đặt là 12 (mười hai) tháng kể từ ngày nghiệm thu bàn giao toàn bộ công trình/hạng mục, trừ khi phụ lục/báo giá/biên bản thỏa thuận ghi rõ thời hạn khác. Thời hạn bảo hành thiết bị thực hiện theo chính sách của nhà sản xuất hoặc tài liệu bảo hành kèm theo thiết bị, nếu có.</w:t>
      </w:r>
    </w:p>
    <w:p>
      <w:pPr>
        <w:pStyle w:val="ListNumber"/>
        <w:spacing w:after="40"/>
      </w:pPr>
      <w:r>
        <w:rPr>
          <w:rFonts w:ascii="Times New Roman" w:hAnsi="Times New Roman" w:eastAsia="Times New Roman"/>
          <w:sz w:val="22"/>
        </w:rPr>
        <w:t>Trong thời hạn bảo hành, Bên B có trách nhiệm khắc phục miễn phí các lỗi kỹ thuật phát sinh trực tiếp do thi công, lắp đặt không đúng kỹ thuật thuộc trách nhiệm của Bên B, với điều kiện Bên A thông báo bằng văn bản/email cho Bên B trong vòng 07 (bảy) ngày kể từ ngày phát hiện lỗi và tạo điều kiện để Bên B kiểm tra hiện trạng.</w:t>
      </w:r>
    </w:p>
    <w:p>
      <w:pPr>
        <w:pStyle w:val="ListNumber"/>
        <w:spacing w:after="40"/>
      </w:pPr>
      <w:r>
        <w:rPr>
          <w:rFonts w:ascii="Times New Roman" w:hAnsi="Times New Roman" w:eastAsia="Times New Roman"/>
          <w:sz w:val="22"/>
        </w:rPr>
        <w:t>Bên B không có nghĩa vụ bảo hành đối với các hư hỏng/sự cố phát sinh do: (a) Bên A hoặc người sử dụng vận hành, sử dụng sai quy trình/hướng dẫn; (b) bên thứ ba không được Bên B ủy quyền can thiệp, sửa chữa, tháo lắp, thay đổi hệ thống dẫn đến hư hỏng; (c) sự cố nguồn điện, điện áp bất thường, sét đánh hoặc điều kiện cấp điện vượt ngoài thông số kỹ thuật thiết kế/xác nhận; (d) thiên tai, hỏa hoạn, ngập nước, động đất hoặc sự kiện bất khả kháng; (e) hao mòn tự nhiên; (f) Bên A không thực hiện bảo trì định kỳ theo hướng dẫn của Bên B/nhà sản xuất nếu việc không bảo trì là nguyên nhân trực tiếp gây ra hư hỏng.</w:t>
      </w:r>
    </w:p>
    <w:p>
      <w:pPr>
        <w:pStyle w:val="ListNumber"/>
        <w:spacing w:after="40"/>
      </w:pPr>
      <w:r>
        <w:rPr>
          <w:rFonts w:ascii="Times New Roman" w:hAnsi="Times New Roman" w:eastAsia="Times New Roman"/>
          <w:sz w:val="22"/>
        </w:rPr>
        <w:t>Đối với hạng mục/thiết bị được Bên B thay thế mới trong thời gian bảo hành, thời hạn bảo hành cho phần thay thế được tính lại từ ngày hoàn thành thay thế, nhưng không vượt quá thời hạn được ghi trong phụ lục/báo giá/bảo hành của nhà sản xuất nếu các bên không có thỏa thuận khác.</w:t>
      </w:r>
    </w:p>
    <w:p>
      <w:pPr>
        <w:pStyle w:val="ListNumber"/>
        <w:spacing w:after="40"/>
      </w:pPr>
      <w:r>
        <w:rPr>
          <w:rFonts w:ascii="Times New Roman" w:hAnsi="Times New Roman" w:eastAsia="Times New Roman"/>
          <w:sz w:val="22"/>
        </w:rPr>
        <w:t>Bên B có quyền tạm ngừng thực hiện bảo hành không khẩn cấp đối với phần hạng mục/thiết bị mà Bên A đang chậm thanh toán, sau khi đã thông báo bằng văn bản/email cho Bên A. Quyền này không áp dụng đối với trường hợp cần xử lý ngay để tránh nguy cơ mất an toàn nghiêm trọng cho người hoặc tài sản.</w:t>
      </w:r>
    </w:p>
    <w:p>
      <w:pPr>
        <w:shd w:fill="F4F6F8"/>
      </w:pPr>
      <w:r>
        <w:rPr>
          <w:rFonts w:ascii="Times New Roman" w:hAnsi="Times New Roman" w:eastAsia="Times New Roman"/>
          <w:i/>
          <w:color w:val="545454"/>
          <w:sz w:val="18"/>
        </w:rPr>
        <w:t>Cơ sở pháp lý tham chiếu: Bộ luật Dân sự 2015 Điều 351 về trách nhiệm do vi phạm nghĩa vụ; Luật Thương mại 2005 Điều 49 về bảo hành hàng hóa; Bộ luật Dân sự 2015 Điều 405 và Điều 406 về hợp đồng theo mẫu/điều kiện giao dịch chung, đặc biệt khi điều khoản miễn trừ trách nhiệm cần được diễn đạt rõ và không loại bỏ quyền lợi chính đáng của bên còn lại.</w:t>
      </w:r>
    </w:p>
    <w:p>
      <w:pPr>
        <w:spacing w:after="80" w:line="259" w:lineRule="auto"/>
      </w:pPr>
      <w:r>
        <w:rPr>
          <w:rFonts w:ascii="Times New Roman" w:hAnsi="Times New Roman" w:eastAsia="Times New Roman"/>
          <w:b/>
          <w:i w:val="0"/>
          <w:sz w:val="24"/>
        </w:rPr>
        <w:t>Điều 9. An toàn, vệ sinh, PCCC và trách nhiệm công trình</w:t>
      </w:r>
    </w:p>
    <w:p>
      <w:pPr>
        <w:pStyle w:val="ListNumber"/>
        <w:spacing w:after="40"/>
      </w:pPr>
      <w:r>
        <w:rPr>
          <w:rFonts w:ascii="Times New Roman" w:hAnsi="Times New Roman" w:eastAsia="Times New Roman"/>
          <w:sz w:val="22"/>
        </w:rPr>
        <w:t>Đối với công việc thi công, lắp đặt, bảo trì, sửa chữa tại hiện trường, các bên phải phối hợp bảo đảm an toàn lao động, an toàn điện, phòng cháy chữa cháy, vệ sinh công nghiệp và bảo vệ tài sản tại khu vực thực hiện.</w:t>
      </w:r>
    </w:p>
    <w:p>
      <w:pPr>
        <w:pStyle w:val="ListNumber"/>
        <w:spacing w:after="40"/>
      </w:pPr>
      <w:r>
        <w:rPr>
          <w:rFonts w:ascii="Times New Roman" w:hAnsi="Times New Roman" w:eastAsia="Times New Roman"/>
          <w:sz w:val="22"/>
        </w:rPr>
        <w:t>Bên A có trách nhiệm cung cấp nội quy công trình, yêu cầu ra vào, yêu cầu an toàn/PCCC và điều kiện làm việc đặc thù nếu có. Bên B có trách nhiệm tổ chức nhân sự, dụng cụ và biện pháp thi công phù hợp với phạm vi công việc đã thỏa thuận.</w:t>
      </w:r>
    </w:p>
    <w:p>
      <w:pPr>
        <w:pStyle w:val="ListNumber"/>
        <w:spacing w:after="40"/>
      </w:pPr>
      <w:r>
        <w:rPr>
          <w:rFonts w:ascii="Times New Roman" w:hAnsi="Times New Roman" w:eastAsia="Times New Roman"/>
          <w:sz w:val="22"/>
        </w:rPr>
        <w:t>Nếu phát sinh điều kiện thi công không an toàn hoặc vượt ngoài phạm vi đã khảo sát, Bên B có quyền tạm dừng để yêu cầu Bên A xác nhận phương án xử lý, chi phí và tiến độ điều chỉnh. Việc tạm dừng vì lý do an toàn không được xem là vi phạm tiến độ của Bên B.</w:t>
      </w:r>
    </w:p>
    <w:p>
      <w:pPr>
        <w:spacing w:after="80" w:line="259" w:lineRule="auto"/>
      </w:pPr>
      <w:r>
        <w:rPr>
          <w:rFonts w:ascii="Times New Roman" w:hAnsi="Times New Roman" w:eastAsia="Times New Roman"/>
          <w:b/>
          <w:i w:val="0"/>
          <w:sz w:val="24"/>
        </w:rPr>
        <w:t>Điều 10. Phạt vi phạm và bồi thường thiệt hại</w:t>
      </w:r>
    </w:p>
    <w:p>
      <w:pPr>
        <w:pStyle w:val="ListNumber"/>
        <w:spacing w:after="40"/>
      </w:pPr>
      <w:r>
        <w:rPr>
          <w:rFonts w:ascii="Times New Roman" w:hAnsi="Times New Roman" w:eastAsia="Times New Roman"/>
          <w:sz w:val="22"/>
        </w:rPr>
        <w:t>Trường hợp Bên A vi phạm bất kỳ nghĩa vụ nào theo Hợp đồng này, bao gồm nhưng không giới hạn ở chậm thanh toán, không bàn giao mặt bằng đúng hạn, không phối hợp nghiệm thu, tự ý thay đổi phương án kỹ thuật hoặc trì hoãn xác nhận phát sinh, Bên A phải chịu phạt vi phạm với mức 8% giá trị phần nghĩa vụ bị vi phạm hoặc giá trị phần công việc bị ảnh hưởng trực tiếp bởi hành vi vi phạm đó.</w:t>
      </w:r>
    </w:p>
    <w:p>
      <w:pPr>
        <w:pStyle w:val="ListNumber"/>
        <w:spacing w:after="40"/>
      </w:pPr>
      <w:r>
        <w:rPr>
          <w:rFonts w:ascii="Times New Roman" w:hAnsi="Times New Roman" w:eastAsia="Times New Roman"/>
          <w:sz w:val="22"/>
        </w:rPr>
        <w:t>Trường hợp Bên B vi phạm bất kỳ nghĩa vụ nào theo Hợp đồng này, bao gồm nhưng không giới hạn ở thi công sai thiết kế, sử dụng vật tư không đúng thỏa thuận hoặc chậm tiến độ do lỗi trực tiếp của Bên B, Bên B phải chịu phạt vi phạm với mức 5% giá trị phần nghĩa vụ bị vi phạm hoặc giá trị phần công việc bị ảnh hưởng trực tiếp bởi hành vi vi phạm đó.</w:t>
      </w:r>
    </w:p>
    <w:p>
      <w:pPr>
        <w:pStyle w:val="ListNumber"/>
        <w:spacing w:after="40"/>
      </w:pPr>
      <w:r>
        <w:rPr>
          <w:rFonts w:ascii="Times New Roman" w:hAnsi="Times New Roman" w:eastAsia="Times New Roman"/>
          <w:sz w:val="22"/>
        </w:rPr>
        <w:t>Các mức phạt nêu tại khoản 1 và khoản 2 Điều này được áp dụng trong phạm vi pháp luật cho phép. Trường hợp pháp luật tại thời điểm phát sinh tranh chấp quy định mức tối đa thấp hơn, mức phạt được tự động điều chỉnh về mức tối đa được phép áp dụng.</w:t>
      </w:r>
    </w:p>
    <w:p>
      <w:pPr>
        <w:pStyle w:val="ListNumber"/>
        <w:spacing w:after="40"/>
      </w:pPr>
      <w:r>
        <w:rPr>
          <w:rFonts w:ascii="Times New Roman" w:hAnsi="Times New Roman" w:eastAsia="Times New Roman"/>
          <w:sz w:val="22"/>
        </w:rPr>
        <w:t>Việc áp dụng phạt vi phạm không loại trừ quyền yêu cầu bồi thường thiệt hại thực tế, trực tiếp và hợp lý của bên bị vi phạm. Bên yêu cầu bồi thường có nghĩa vụ chứng minh thiệt hại thực tế, mức thiệt hại và mối quan hệ nhân quả giữa hành vi vi phạm và thiệt hại đó.</w:t>
      </w:r>
    </w:p>
    <w:p>
      <w:pPr>
        <w:pStyle w:val="ListNumber"/>
        <w:spacing w:after="40"/>
      </w:pPr>
      <w:r>
        <w:rPr>
          <w:rFonts w:ascii="Times New Roman" w:hAnsi="Times New Roman" w:eastAsia="Times New Roman"/>
          <w:sz w:val="22"/>
        </w:rPr>
        <w:t>Tổng mức phạt vi phạm và bồi thường thiệt hại không vượt quá giới hạn pháp luật bắt buộc áp dụng tại thời điểm phát sinh vi phạm, nếu có.</w:t>
      </w:r>
    </w:p>
    <w:p>
      <w:pPr>
        <w:shd w:fill="F4F6F8"/>
      </w:pPr>
      <w:r>
        <w:rPr>
          <w:rFonts w:ascii="Times New Roman" w:hAnsi="Times New Roman" w:eastAsia="Times New Roman"/>
          <w:i/>
          <w:color w:val="545454"/>
          <w:sz w:val="18"/>
        </w:rPr>
        <w:t>Cơ sở pháp lý tham chiếu: Luật Thương mại 2005 Điều 300 về phạt vi phạm, Điều 301 về mức phạt vi phạm, Điều 302-307 về bồi thường thiệt hại và quan hệ giữa phạt vi phạm/bồi thường; Bộ luật Dân sự 2015 Điều 418 về thỏa thuận phạt vi phạm. Mức phạt cần xác định cụ thể để bảo đảm khả năng yêu cầu áp dụng khi tranh chấp.</w:t>
      </w:r>
    </w:p>
    <w:p>
      <w:pPr>
        <w:spacing w:after="80" w:line="259" w:lineRule="auto"/>
      </w:pPr>
      <w:r>
        <w:rPr>
          <w:rFonts w:ascii="Times New Roman" w:hAnsi="Times New Roman" w:eastAsia="Times New Roman"/>
          <w:b/>
          <w:i w:val="0"/>
          <w:sz w:val="24"/>
        </w:rPr>
        <w:t>Điều 11. Chính sách thuế, hóa đơn và chứng từ</w:t>
      </w:r>
    </w:p>
    <w:p>
      <w:pPr>
        <w:pStyle w:val="ListNumber"/>
        <w:spacing w:after="40"/>
      </w:pPr>
      <w:r>
        <w:rPr>
          <w:rFonts w:ascii="Times New Roman" w:hAnsi="Times New Roman" w:eastAsia="Times New Roman"/>
          <w:sz w:val="22"/>
        </w:rPr>
        <w:t>Thuế VAT, hóa đơn, chứng từ điện tử và các nghĩa vụ tài chính được thực hiện theo quy định pháp luật hiện hành và theo thông tin thể hiện trên báo giá/phụ lục/hóa đơn của từng giao dịch.</w:t>
      </w:r>
    </w:p>
    <w:p>
      <w:pPr>
        <w:pStyle w:val="ListNumber"/>
        <w:spacing w:after="40"/>
      </w:pPr>
      <w:r>
        <w:rPr>
          <w:rFonts w:ascii="Times New Roman" w:hAnsi="Times New Roman" w:eastAsia="Times New Roman"/>
          <w:sz w:val="22"/>
        </w:rPr>
        <w:t>Trường hợp chính sách thuế, phí, lệ phí, hóa đơn hoặc quy định quản lý nhà nước thay đổi làm ảnh hưởng đến giá trị, hồ sơ hoặc thời điểm thực hiện, hai bên sẽ phối hợp điều chỉnh chứng từ và nghĩa vụ liên quan trên cơ sở văn bản pháp luật có hiệu lực tại thời điểm phát sinh.</w:t>
      </w:r>
    </w:p>
    <w:p>
      <w:pPr>
        <w:pStyle w:val="ListNumber"/>
        <w:spacing w:after="40"/>
      </w:pPr>
      <w:r>
        <w:rPr>
          <w:rFonts w:ascii="Times New Roman" w:hAnsi="Times New Roman" w:eastAsia="Times New Roman"/>
          <w:sz w:val="22"/>
        </w:rPr>
        <w:t>Bên A có trách nhiệm cung cấp thông tin xuất hóa đơn chính xác trước thời điểm Bên B lập hóa đơn. Trường hợp thông tin sai do Bên A cung cấp, chi phí điều chỉnh/hủy/thay thế hóa đơn, nếu có, do Bên A chịu.</w:t>
      </w:r>
    </w:p>
    <w:p>
      <w:pPr>
        <w:shd w:fill="F4F6F8"/>
      </w:pPr>
      <w:r>
        <w:rPr>
          <w:rFonts w:ascii="Times New Roman" w:hAnsi="Times New Roman" w:eastAsia="Times New Roman"/>
          <w:i/>
          <w:color w:val="545454"/>
          <w:sz w:val="18"/>
        </w:rPr>
        <w:t>Cơ sở pháp lý tham chiếu: pháp luật hiện hành về thuế GTGT, hóa đơn/chứng từ điện tử, quản lý thuế và các văn bản sửa đổi, bổ sung, thay thế có hiệu lực tại thời điểm phát sinh nghĩa vụ. Điều khoản này nhằm tránh hardcode thuế suất/chính sách vào hợp đồng khi pháp luật thay đổi.</w:t>
      </w:r>
    </w:p>
    <w:p>
      <w:pPr>
        <w:spacing w:after="80" w:line="259" w:lineRule="auto"/>
      </w:pPr>
      <w:r>
        <w:rPr>
          <w:rFonts w:ascii="Times New Roman" w:hAnsi="Times New Roman" w:eastAsia="Times New Roman"/>
          <w:b/>
          <w:i w:val="0"/>
          <w:sz w:val="24"/>
        </w:rPr>
        <w:t>Điều 12. Bảo mật thông tin và dữ liệu hồ sơ</w:t>
      </w:r>
    </w:p>
    <w:p>
      <w:pPr>
        <w:pStyle w:val="ListNumber"/>
        <w:spacing w:after="40"/>
      </w:pPr>
      <w:r>
        <w:rPr>
          <w:rFonts w:ascii="Times New Roman" w:hAnsi="Times New Roman" w:eastAsia="Times New Roman"/>
          <w:sz w:val="22"/>
        </w:rPr>
        <w:t>Mọi thông tin về giá, bản vẽ, quy trình kỹ thuật, danh sách khách hàng, hồ sơ công trình, hình ảnh hiện trường, tài liệu nội bộ và thông tin kinh doanh của mỗi bên được xem là thông tin bảo mật, trừ khi thông tin đã công khai hợp pháp.</w:t>
      </w:r>
    </w:p>
    <w:p>
      <w:pPr>
        <w:pStyle w:val="ListNumber"/>
        <w:spacing w:after="40"/>
      </w:pPr>
      <w:r>
        <w:rPr>
          <w:rFonts w:ascii="Times New Roman" w:hAnsi="Times New Roman" w:eastAsia="Times New Roman"/>
          <w:sz w:val="22"/>
        </w:rPr>
        <w:t>Các bên không được tiết lộ thông tin bảo mật cho bên thứ ba nếu không có sự đồng ý bằng văn bản của bên còn lại, trừ trường hợp cung cấp cho cơ quan nhà nước có thẩm quyền hoặc đơn vị tư vấn/hỗ trợ có nghĩa vụ bảo mật tương đương.</w:t>
      </w:r>
    </w:p>
    <w:p>
      <w:pPr>
        <w:pStyle w:val="ListNumber"/>
        <w:spacing w:after="40"/>
      </w:pPr>
      <w:r>
        <w:rPr>
          <w:rFonts w:ascii="Times New Roman" w:hAnsi="Times New Roman" w:eastAsia="Times New Roman"/>
          <w:sz w:val="22"/>
        </w:rPr>
        <w:t>Nghĩa vụ bảo mật tiếp tục có hiệu lực trong vòng 24 tháng sau khi Hợp đồng chấm dứt, trừ khi pháp luật hoặc thỏa thuận riêng yêu cầu thời hạn dài hơn.</w:t>
      </w:r>
    </w:p>
    <w:p>
      <w:pPr>
        <w:shd w:fill="F4F6F8"/>
      </w:pPr>
      <w:r>
        <w:rPr>
          <w:rFonts w:ascii="Times New Roman" w:hAnsi="Times New Roman" w:eastAsia="Times New Roman"/>
          <w:i/>
          <w:color w:val="545454"/>
          <w:sz w:val="18"/>
        </w:rPr>
        <w:t>Cơ sở pháp lý tham chiếu: Bộ luật Dân sự 2015 Điều 387 về thông tin trong giao kết hợp đồng, quy định về nghĩa vụ bồi thường thiệt hại khi vi phạm nghĩa vụ; Luật Thương mại 2005 Điều 289 về bảo mật thông tin trong cung ứng dịch vụ và các nghĩa vụ bảo mật theo thỏa thuận của các bên.</w:t>
      </w:r>
    </w:p>
    <w:p>
      <w:pPr>
        <w:spacing w:after="80" w:line="259" w:lineRule="auto"/>
      </w:pPr>
      <w:r>
        <w:rPr>
          <w:rFonts w:ascii="Times New Roman" w:hAnsi="Times New Roman" w:eastAsia="Times New Roman"/>
          <w:b/>
          <w:i w:val="0"/>
          <w:sz w:val="24"/>
        </w:rPr>
        <w:t>Điều 13. Tuân thủ pháp luật, chống hối lộ và xung đột lợi ích</w:t>
      </w:r>
    </w:p>
    <w:p>
      <w:pPr>
        <w:pStyle w:val="ListNumber"/>
        <w:spacing w:after="40"/>
      </w:pPr>
      <w:r>
        <w:rPr>
          <w:rFonts w:ascii="Times New Roman" w:hAnsi="Times New Roman" w:eastAsia="Times New Roman"/>
          <w:sz w:val="22"/>
        </w:rPr>
        <w:t>Hai bên cam kết tuân thủ pháp luật, không thực hiện hành vi hối lộ, thông đồng, gian lận, cạnh tranh không lành mạnh hoặc lợi dụng Hợp đồng để thực hiện giao dịch trái pháp luật.</w:t>
      </w:r>
    </w:p>
    <w:p>
      <w:pPr>
        <w:pStyle w:val="ListNumber"/>
        <w:spacing w:after="40"/>
      </w:pPr>
      <w:r>
        <w:rPr>
          <w:rFonts w:ascii="Times New Roman" w:hAnsi="Times New Roman" w:eastAsia="Times New Roman"/>
          <w:sz w:val="22"/>
        </w:rPr>
        <w:t>Mọi khoản chiết khấu, hoa hồng, hỗ trợ, phí bên thứ ba nếu có phải được ghi nhận minh bạch bằng văn bản hoặc chứng từ hợp lệ theo chính sách nội bộ và quy định pháp luật.</w:t>
      </w:r>
    </w:p>
    <w:p>
      <w:pPr>
        <w:pStyle w:val="ListNumber"/>
        <w:spacing w:after="40"/>
      </w:pPr>
      <w:r>
        <w:rPr>
          <w:rFonts w:ascii="Times New Roman" w:hAnsi="Times New Roman" w:eastAsia="Times New Roman"/>
          <w:sz w:val="22"/>
        </w:rPr>
        <w:t>Bên nào phát hiện nguy cơ xung đột lợi ích hoặc yêu cầu không phù hợp phải thông báo cho bên còn lại để xử lý trước khi tiếp tục thực hiện.</w:t>
      </w:r>
    </w:p>
    <w:p>
      <w:pPr>
        <w:spacing w:after="80" w:line="259" w:lineRule="auto"/>
      </w:pPr>
      <w:r>
        <w:rPr>
          <w:rFonts w:ascii="Times New Roman" w:hAnsi="Times New Roman" w:eastAsia="Times New Roman"/>
          <w:b/>
          <w:i w:val="0"/>
          <w:sz w:val="24"/>
        </w:rPr>
        <w:t>Điều 14. Trao đổi điện tử, thông báo và lưu trữ hồ sơ</w:t>
      </w:r>
    </w:p>
    <w:p>
      <w:pPr>
        <w:pStyle w:val="ListNumber"/>
        <w:spacing w:after="40"/>
      </w:pPr>
      <w:r>
        <w:rPr>
          <w:rFonts w:ascii="Times New Roman" w:hAnsi="Times New Roman" w:eastAsia="Times New Roman"/>
          <w:sz w:val="22"/>
        </w:rPr>
        <w:t>Thông báo, xác nhận, yêu cầu phát sinh, chấp thuận báo giá, xác nhận lịch thi công hoặc các trao đổi nghiệp vụ qua email, tin nhắn, hệ thống quản lý công việc hoặc văn bản điện tử được xem là căn cứ tham chiếu nếu xác định được người gửi, thời điểm gửi và nội dung trao đổi.</w:t>
      </w:r>
    </w:p>
    <w:p>
      <w:pPr>
        <w:pStyle w:val="ListNumber"/>
        <w:spacing w:after="40"/>
      </w:pPr>
      <w:r>
        <w:rPr>
          <w:rFonts w:ascii="Times New Roman" w:hAnsi="Times New Roman" w:eastAsia="Times New Roman"/>
          <w:sz w:val="22"/>
        </w:rPr>
        <w:t>Các văn bản cần ký/đóng dấu như hợp đồng, phụ lục, nghiệm thu, quyết toán, đối chiếu công nợ và hồ sơ thanh toán sẽ thực hiện theo hình thức bản giấy hoặc bản điện tử có giá trị pháp lý tương đương nếu hai bên thống nhất.</w:t>
      </w:r>
    </w:p>
    <w:p>
      <w:pPr>
        <w:pStyle w:val="ListNumber"/>
        <w:spacing w:after="40"/>
      </w:pPr>
      <w:r>
        <w:rPr>
          <w:rFonts w:ascii="Times New Roman" w:hAnsi="Times New Roman" w:eastAsia="Times New Roman"/>
          <w:sz w:val="22"/>
        </w:rPr>
        <w:t>Hồ sơ, hình ảnh, thông tin kỹ thuật, thông tin người liên hệ và dữ liệu giao dịch được thu thập chỉ nhằm mục đích thực hiện hợp đồng, quản lý bảo hành, bảo trì, thanh toán, đối chiếu công nợ, lưu trữ hồ sơ và xử lý tranh chấp nếu có.</w:t>
      </w:r>
    </w:p>
    <w:p>
      <w:pPr>
        <w:pStyle w:val="ListNumber"/>
        <w:spacing w:after="40"/>
      </w:pPr>
      <w:r>
        <w:rPr>
          <w:rFonts w:ascii="Times New Roman" w:hAnsi="Times New Roman" w:eastAsia="Times New Roman"/>
          <w:sz w:val="22"/>
        </w:rPr>
        <w:t>Bên B được phép lưu trữ hồ sơ giao dịch trong hệ thống quản trị nội bộ để phục vụ truy xuất chứng từ, bảo hành, bảo trì, kiểm toán nội bộ và xử lý tranh chấp.</w:t>
      </w:r>
    </w:p>
    <w:p>
      <w:pPr>
        <w:shd w:fill="F4F6F8"/>
      </w:pPr>
      <w:r>
        <w:rPr>
          <w:rFonts w:ascii="Times New Roman" w:hAnsi="Times New Roman" w:eastAsia="Times New Roman"/>
          <w:i/>
          <w:color w:val="545454"/>
          <w:sz w:val="18"/>
        </w:rPr>
        <w:t>Cơ sở pháp lý tham chiếu: Luật Giao dịch điện tử 2023 Điều 8 và Điều 11 về giá trị pháp lý của thông điệp dữ liệu/giao dịch điện tử; Điều 23 về chữ ký điện tử/chữ ký số; Bộ luật Tố tụng dân sự 2015 Điều 93 về chứng cứ. Log hệ thống, email, screenshot kèm metadata giúp tăng giá trị chứng minh khi tranh chấp.</w:t>
      </w:r>
    </w:p>
    <w:p>
      <w:pPr>
        <w:spacing w:after="80" w:line="259" w:lineRule="auto"/>
      </w:pPr>
      <w:r>
        <w:rPr>
          <w:rFonts w:ascii="Times New Roman" w:hAnsi="Times New Roman" w:eastAsia="Times New Roman"/>
          <w:b/>
          <w:i w:val="0"/>
          <w:sz w:val="24"/>
        </w:rPr>
        <w:t>Điều 15. Bất khả kháng</w:t>
      </w:r>
    </w:p>
    <w:p>
      <w:pPr>
        <w:pStyle w:val="ListNumber"/>
        <w:spacing w:after="40"/>
      </w:pPr>
      <w:r>
        <w:rPr>
          <w:rFonts w:ascii="Times New Roman" w:hAnsi="Times New Roman" w:eastAsia="Times New Roman"/>
          <w:sz w:val="22"/>
        </w:rPr>
        <w:t>Sự kiện bất khả kháng bao gồm thiên tai, hỏa hoạn, lũ lụt, dịch bệnh, chiến tranh, bạo loạn, cấm vận, thay đổi chính sách pháp luật, sự cố khách quan ngoài khả năng kiểm soát hợp lý của các bên và các sự kiện khác đáp ứng điều kiện bất khả kháng theo pháp luật.</w:t>
      </w:r>
    </w:p>
    <w:p>
      <w:pPr>
        <w:pStyle w:val="ListNumber"/>
        <w:spacing w:after="40"/>
      </w:pPr>
      <w:r>
        <w:rPr>
          <w:rFonts w:ascii="Times New Roman" w:hAnsi="Times New Roman" w:eastAsia="Times New Roman"/>
          <w:sz w:val="22"/>
        </w:rPr>
        <w:t>Bên gặp sự kiện bất khả kháng phải thông báo cho bên còn lại trong thời gian sớm nhất có thể, cung cấp tài liệu/chứng cứ hợp lý nếu có, và áp dụng biện pháp cần thiết để hạn chế thiệt hại.</w:t>
      </w:r>
    </w:p>
    <w:p>
      <w:pPr>
        <w:pStyle w:val="ListNumber"/>
        <w:spacing w:after="40"/>
      </w:pPr>
      <w:r>
        <w:rPr>
          <w:rFonts w:ascii="Times New Roman" w:hAnsi="Times New Roman" w:eastAsia="Times New Roman"/>
          <w:sz w:val="22"/>
        </w:rPr>
        <w:t>Thời hạn thực hiện nghĩa vụ bị ảnh hưởng được gia hạn tương ứng với thời gian bị ảnh hưởng bởi sự kiện bất khả kháng, trừ khi hai bên có thỏa thuận khác.</w:t>
      </w:r>
    </w:p>
    <w:p>
      <w:pPr>
        <w:spacing w:after="80" w:line="259" w:lineRule="auto"/>
      </w:pPr>
      <w:r>
        <w:rPr>
          <w:rFonts w:ascii="Times New Roman" w:hAnsi="Times New Roman" w:eastAsia="Times New Roman"/>
          <w:b/>
          <w:i w:val="0"/>
          <w:sz w:val="24"/>
        </w:rPr>
        <w:t>Điều 16. Tạm ngừng và chấm dứt hợp đồng</w:t>
      </w:r>
    </w:p>
    <w:p>
      <w:pPr>
        <w:pStyle w:val="ListNumber"/>
        <w:spacing w:after="40"/>
      </w:pPr>
      <w:r>
        <w:rPr>
          <w:rFonts w:ascii="Times New Roman" w:hAnsi="Times New Roman" w:eastAsia="Times New Roman"/>
          <w:sz w:val="22"/>
        </w:rPr>
        <w:t>Bên B có quyền tạm ngừng thi công khi Bên A chậm thanh toán, không bàn giao mặt bằng, thay đổi thiết kế/phương án chưa xác nhận, không phối hợp nghiệm thu, hoặc điều kiện thi công không bảo đảm an toàn.</w:t>
      </w:r>
    </w:p>
    <w:p>
      <w:pPr>
        <w:pStyle w:val="ListNumber"/>
        <w:spacing w:after="40"/>
      </w:pPr>
      <w:r>
        <w:rPr>
          <w:rFonts w:ascii="Times New Roman" w:hAnsi="Times New Roman" w:eastAsia="Times New Roman"/>
          <w:sz w:val="22"/>
        </w:rPr>
        <w:t>Một bên có quyền chấm dứt Hợp đồng khi bên kia vi phạm nghiêm trọng nghĩa vụ và không khắc phục trong thời hạn hợp lý sau khi đã nhận thông báo bằng văn bản/email hợp lệ.</w:t>
      </w:r>
    </w:p>
    <w:p>
      <w:pPr>
        <w:pStyle w:val="ListNumber"/>
        <w:spacing w:after="40"/>
      </w:pPr>
      <w:r>
        <w:rPr>
          <w:rFonts w:ascii="Times New Roman" w:hAnsi="Times New Roman" w:eastAsia="Times New Roman"/>
          <w:sz w:val="22"/>
        </w:rPr>
        <w:t>Chấm dứt Hợp đồng không làm mất hiệu lực đối với các nghĩa vụ đã phát sinh trước thời điểm chấm dứt, bao gồm nghĩa vụ thanh toán, bảo mật, bảo hành, bồi thường, phạt vi phạm và lưu trữ hồ sơ.</w:t>
      </w:r>
    </w:p>
    <w:p>
      <w:pPr>
        <w:shd w:fill="F4F6F8"/>
      </w:pPr>
      <w:r>
        <w:rPr>
          <w:rFonts w:ascii="Times New Roman" w:hAnsi="Times New Roman" w:eastAsia="Times New Roman"/>
          <w:i/>
          <w:color w:val="545454"/>
          <w:sz w:val="18"/>
        </w:rPr>
        <w:t>Cơ sở pháp lý tham chiếu: Bộ luật Dân sự 2015 Điều 423, 424 và 428 về hủy bỏ/chấm dứt/đơn phương chấm dứt hợp đồng và nghĩa vụ thông báo; Luật Thương mại 2005 Điều 308 về tạm ngừng, Điều 310 về đình chỉ, và các điều khoản liên quan đến hậu quả pháp lý của việc tạm ngừng/đình chỉ/hủy bỏ trong giao dịch thương mại.</w:t>
      </w:r>
    </w:p>
    <w:p>
      <w:pPr>
        <w:spacing w:after="80" w:line="259" w:lineRule="auto"/>
      </w:pPr>
      <w:r>
        <w:rPr>
          <w:rFonts w:ascii="Times New Roman" w:hAnsi="Times New Roman" w:eastAsia="Times New Roman"/>
          <w:b/>
          <w:i w:val="0"/>
          <w:sz w:val="24"/>
        </w:rPr>
        <w:t>Điều 17. Giải quyết tranh chấp</w:t>
      </w:r>
    </w:p>
    <w:p>
      <w:pPr>
        <w:pStyle w:val="ListNumber"/>
        <w:spacing w:after="40"/>
      </w:pPr>
      <w:r>
        <w:rPr>
          <w:rFonts w:ascii="Times New Roman" w:hAnsi="Times New Roman" w:eastAsia="Times New Roman"/>
          <w:sz w:val="22"/>
        </w:rPr>
        <w:t>Mọi tranh chấp phát sinh từ hoặc liên quan đến Hợp đồng này trước hết được giải quyết bằng thương lượng, hòa giải trên tinh thần thiện chí.</w:t>
      </w:r>
    </w:p>
    <w:p>
      <w:pPr>
        <w:pStyle w:val="ListNumber"/>
        <w:spacing w:after="40"/>
      </w:pPr>
      <w:r>
        <w:rPr>
          <w:rFonts w:ascii="Times New Roman" w:hAnsi="Times New Roman" w:eastAsia="Times New Roman"/>
          <w:sz w:val="22"/>
        </w:rPr>
        <w:t>Nếu không giải quyết được bằng thương lượng trong vòng 30 (ba mươi) ngày kể từ ngày một bên gửi thông báo tranh chấp, tranh chấp được đưa ra Tòa án có thẩm quyền theo quy định pháp luật để giải quyết, trừ khi hai bên có thỏa thuận khác bằng văn bản.</w:t>
      </w:r>
    </w:p>
    <w:p>
      <w:pPr>
        <w:pStyle w:val="ListNumber"/>
        <w:spacing w:after="40"/>
      </w:pPr>
      <w:r>
        <w:rPr>
          <w:rFonts w:ascii="Times New Roman" w:hAnsi="Times New Roman" w:eastAsia="Times New Roman"/>
          <w:sz w:val="22"/>
        </w:rPr>
        <w:t>Trong thời gian giải quyết tranh chấp, các bên vẫn phải tiếp tục thực hiện các nghĩa vụ không bị tranh chấp, trừ khi việc tiếp tục thực hiện không thể thực hiện được hoặc hai bên có thỏa thuận khác.</w:t>
      </w:r>
    </w:p>
    <w:p>
      <w:pPr>
        <w:shd w:fill="F4F6F8"/>
      </w:pPr>
      <w:r>
        <w:rPr>
          <w:rFonts w:ascii="Times New Roman" w:hAnsi="Times New Roman" w:eastAsia="Times New Roman"/>
          <w:i/>
          <w:color w:val="545454"/>
          <w:sz w:val="18"/>
        </w:rPr>
        <w:t>Cơ sở pháp lý tham chiếu: Bộ luật Dân sự 2015, Bộ luật Tố tụng dân sự 2015 và các quy định về thẩm quyền giải quyết tranh chấp; việc thương lượng/hòa giải trước khi khởi kiện giúp tạo chứng cứ thiện chí và giảm chi phí tranh chấp.</w:t>
      </w:r>
    </w:p>
    <w:p>
      <w:pPr>
        <w:spacing w:after="80" w:line="259" w:lineRule="auto"/>
      </w:pPr>
      <w:r>
        <w:rPr>
          <w:rFonts w:ascii="Times New Roman" w:hAnsi="Times New Roman" w:eastAsia="Times New Roman"/>
          <w:b/>
          <w:i w:val="0"/>
          <w:sz w:val="24"/>
        </w:rPr>
        <w:t>Điều 18. Hiệu lực hợp đồng</w:t>
      </w:r>
    </w:p>
    <w:p>
      <w:pPr>
        <w:pStyle w:val="ListNumber"/>
        <w:spacing w:after="40"/>
      </w:pPr>
      <w:r>
        <w:rPr>
          <w:rFonts w:ascii="Times New Roman" w:hAnsi="Times New Roman" w:eastAsia="Times New Roman"/>
          <w:sz w:val="22"/>
        </w:rPr>
        <w:t>Hợp đồng có hiệu lực từ ngày ký hoặc từ ngày {{ngay_hieu_luc}} nếu các bên có thỏa thuận khác.</w:t>
      </w:r>
    </w:p>
    <w:p>
      <w:pPr>
        <w:pStyle w:val="ListNumber"/>
        <w:spacing w:after="40"/>
      </w:pPr>
      <w:r>
        <w:rPr>
          <w:rFonts w:ascii="Times New Roman" w:hAnsi="Times New Roman" w:eastAsia="Times New Roman"/>
          <w:sz w:val="22"/>
        </w:rPr>
        <w:t>Hợp đồng được lập thành 02 (hai) bản có giá trị pháp lý như nhau, mỗi bên giữ 01 (một) bản. Các phụ lục, báo giá, biên bản phát sinh, biên bản nghiệm thu và xác nhận hợp lệ là bộ phận không tách rời của Hợp đồng.</w:t>
      </w:r>
    </w:p>
    <w:p>
      <w:pPr>
        <w:pStyle w:val="ListNumber"/>
        <w:spacing w:after="40"/>
      </w:pPr>
      <w:r>
        <w:rPr>
          <w:rFonts w:ascii="Times New Roman" w:hAnsi="Times New Roman" w:eastAsia="Times New Roman"/>
          <w:sz w:val="22"/>
        </w:rPr>
        <w:t>Các bên xác nhận đã đọc, hiểu rõ quyền và nghĩa vụ của mình, có đầy đủ thẩm quyền ký kết, và tự nguyện ràng buộc bởi các điều khoản của Hợp đồng này.</w:t>
      </w:r>
    </w:p>
    <w:p>
      <w:pPr>
        <w:spacing w:after="60" w:line="259" w:lineRule="auto"/>
      </w:pPr>
      <w:r>
        <w:rPr>
          <w:rFonts w:ascii="Times New Roman" w:hAnsi="Times New Roman" w:eastAsia="Times New Roman"/>
          <w:b w:val="0"/>
          <w:i w:val="0"/>
          <w:sz w:val="22"/>
        </w:rPr>
      </w:r>
    </w:p>
    <w:tbl>
      <w:tblPr>
        <w:tblW w:type="auto" w:w="0"/>
        <w:jc w:val="center"/>
        <w:tblLook w:firstColumn="1" w:firstRow="1" w:lastColumn="0" w:lastRow="0" w:noHBand="0" w:noVBand="1" w:val="04A0"/>
      </w:tblPr>
      <w:tblGrid>
        <w:gridCol w:w="5071"/>
        <w:gridCol w:w="5071"/>
      </w:tblGrid>
      <w:tr>
        <w:tc>
          <w:tcPr>
            <w:tcW w:type="dxa" w:w="5071"/>
          </w:tcPr>
          <w:p>
            <w:pPr>
              <w:jc w:val="center"/>
            </w:pPr>
            <w:r>
              <w:rPr>
                <w:rFonts w:ascii="Times New Roman" w:hAnsi="Times New Roman" w:eastAsia="Times New Roman"/>
              </w:rPr>
            </w:r>
            <w:r>
              <w:rPr>
                <w:rFonts w:ascii="Times New Roman" w:hAnsi="Times New Roman" w:eastAsia="Times New Roman"/>
                <w:b/>
                <w:sz w:val="20"/>
              </w:rPr>
              <w:t>ĐẠI DIỆN BÊN A</w:t>
              <w:br/>
              <w:t>(Ký, ghi rõ họ tên, chức vụ, đóng dấu)</w:t>
            </w:r>
          </w:p>
        </w:tc>
        <w:tc>
          <w:tcPr>
            <w:tcW w:type="dxa" w:w="5071"/>
          </w:tcPr>
          <w:p>
            <w:pPr>
              <w:jc w:val="center"/>
            </w:pPr>
            <w:r>
              <w:rPr>
                <w:rFonts w:ascii="Times New Roman" w:hAnsi="Times New Roman" w:eastAsia="Times New Roman"/>
              </w:rPr>
            </w:r>
            <w:r>
              <w:rPr>
                <w:rFonts w:ascii="Times New Roman" w:hAnsi="Times New Roman" w:eastAsia="Times New Roman"/>
                <w:b/>
                <w:sz w:val="20"/>
              </w:rPr>
              <w:t>ĐẠI DIỆN BÊN B</w:t>
              <w:br/>
              <w:t>(Ký, ghi rõ họ tên, chức vụ, đóng dấu)</w:t>
            </w:r>
          </w:p>
        </w:tc>
      </w:tr>
      <w:tr>
        <w:tc>
          <w:tcPr>
            <w:tcW w:type="dxa" w:w="5071"/>
          </w:tcPr>
          <w:p>
            <w:pPr>
              <w:jc w:val="center"/>
            </w:pPr>
            <w:r>
              <w:rPr>
                <w:rFonts w:ascii="Times New Roman" w:hAnsi="Times New Roman" w:eastAsia="Times New Roman"/>
              </w:rPr>
            </w:r>
            <w:r>
              <w:rPr>
                <w:rFonts w:ascii="Times New Roman" w:hAnsi="Times New Roman" w:eastAsia="Times New Roman"/>
                <w:b/>
                <w:sz w:val="20"/>
              </w:rPr>
              <w:br/>
              <w:br/>
              <w:br/>
              <w:br/>
              <w:t>{{ben_a_nguoi_ky}}</w:t>
            </w:r>
          </w:p>
        </w:tc>
        <w:tc>
          <w:tcPr>
            <w:tcW w:type="dxa" w:w="5071"/>
          </w:tcPr>
          <w:p>
            <w:pPr>
              <w:jc w:val="center"/>
            </w:pPr>
            <w:r>
              <w:rPr>
                <w:rFonts w:ascii="Times New Roman" w:hAnsi="Times New Roman" w:eastAsia="Times New Roman"/>
              </w:rPr>
            </w:r>
            <w:r>
              <w:rPr>
                <w:rFonts w:ascii="Times New Roman" w:hAnsi="Times New Roman" w:eastAsia="Times New Roman"/>
                <w:b/>
                <w:sz w:val="20"/>
              </w:rPr>
              <w:br/>
              <w:br/>
              <w:br/>
              <w:br/>
              <w:t>{{ben_b_nguoi_ky}}</w:t>
            </w:r>
          </w:p>
        </w:tc>
      </w:tr>
    </w:tbl>
    <w:p>
      <w:pPr>
        <w:spacing w:after="40" w:line="259" w:lineRule="auto"/>
      </w:pPr>
      <w:r>
        <w:rPr>
          <w:rFonts w:ascii="Times New Roman" w:hAnsi="Times New Roman" w:eastAsia="Times New Roman"/>
          <w:b/>
          <w:i w:val="0"/>
          <w:sz w:val="22"/>
        </w:rPr>
        <w:t>Phụ lục tham chiếu khuyến nghị:</w:t>
      </w:r>
    </w:p>
    <w:p>
      <w:pPr>
        <w:pStyle w:val="ListBullet"/>
        <w:spacing w:after="40"/>
      </w:pPr>
      <w:r>
        <w:rPr>
          <w:rFonts w:ascii="Times New Roman" w:hAnsi="Times New Roman" w:eastAsia="Times New Roman"/>
          <w:sz w:val="22"/>
        </w:rPr>
        <w:t>Phụ lục 01 - Bảng khối lượng, vật tư, thiết bị và đơn giá;</w:t>
      </w:r>
    </w:p>
    <w:p>
      <w:pPr>
        <w:pStyle w:val="ListBullet"/>
        <w:spacing w:after="40"/>
      </w:pPr>
      <w:r>
        <w:rPr>
          <w:rFonts w:ascii="Times New Roman" w:hAnsi="Times New Roman" w:eastAsia="Times New Roman"/>
          <w:sz w:val="22"/>
        </w:rPr>
        <w:t>Phụ lục 02 - Tiến độ thi công và tiến độ thanh toán;</w:t>
      </w:r>
    </w:p>
    <w:p>
      <w:pPr>
        <w:pStyle w:val="ListBullet"/>
        <w:spacing w:after="40"/>
      </w:pPr>
      <w:r>
        <w:rPr>
          <w:rFonts w:ascii="Times New Roman" w:hAnsi="Times New Roman" w:eastAsia="Times New Roman"/>
          <w:sz w:val="22"/>
        </w:rPr>
        <w:t>Phụ lục 03 - Điều kiện kỹ thuật, bản vẽ, thuyết minh, phương án thi công;</w:t>
      </w:r>
    </w:p>
    <w:p>
      <w:pPr>
        <w:pStyle w:val="ListBullet"/>
        <w:spacing w:after="40"/>
      </w:pPr>
      <w:r>
        <w:rPr>
          <w:rFonts w:ascii="Times New Roman" w:hAnsi="Times New Roman" w:eastAsia="Times New Roman"/>
          <w:sz w:val="22"/>
        </w:rPr>
        <w:t>Phụ lục 04 - Chính sách bảo hành, bảo trì và hướng dẫn vận hành;</w:t>
      </w:r>
    </w:p>
    <w:p>
      <w:pPr>
        <w:pStyle w:val="ListBullet"/>
        <w:spacing w:after="40"/>
      </w:pPr>
      <w:r>
        <w:rPr>
          <w:rFonts w:ascii="Times New Roman" w:hAnsi="Times New Roman" w:eastAsia="Times New Roman"/>
          <w:sz w:val="22"/>
        </w:rPr>
        <w:t>Phụ lục 05 - Biên bản phát sinh/điều chỉnh giá, nếu có.</w:t>
      </w:r>
    </w:p>
    <w:p>
      <w:pPr>
        <w:spacing w:after="20"/>
      </w:pPr>
    </w:p>
    <w:p>
      <w:pPr>
        <w:spacing w:after="20"/>
      </w:pPr>
    </w:p>
    <w:p>
      <w:pPr>
        <w:spacing w:after="20"/>
      </w:pPr>
    </w:p>
    <w:p>
      <w:pPr>
        <w:spacing w:after="20"/>
      </w:pPr>
    </w:p>
    <w:p>
      <w:pPr>
        <w:spacing w:after="20"/>
      </w:pPr>
    </w:p>
    <w:p>
      <w:pPr>
        <w:spacing w:before="40" w:after="80"/>
        <w:ind w:left="198" w:right="85"/>
      </w:pPr>
    </w:p>
    <w:p>
      <w:pPr>
        <w:spacing w:before="40" w:after="80"/>
        <w:ind w:left="198" w:right="85"/>
      </w:pPr>
    </w:p>
    <w:p>
      <w:pPr>
        <w:spacing w:before="40" w:after="80"/>
        <w:ind w:left="198" w:right="85"/>
      </w:pPr>
    </w:p>
    <w:p>
      <w:pPr>
        <w:spacing w:before="40" w:after="80"/>
        <w:ind w:left="198" w:right="85"/>
      </w:pPr>
    </w:p>
    <w:p>
      <w:pPr>
        <w:spacing w:before="40" w:after="80"/>
        <w:ind w:left="198" w:right="85"/>
      </w:pPr>
    </w:p>
    <w:p>
      <w:pPr>
        <w:spacing w:before="40" w:after="80"/>
        <w:ind w:left="198" w:right="85"/>
      </w:pPr>
    </w:p>
    <w:p>
      <w:pPr>
        <w:spacing w:before="40" w:after="80"/>
        <w:ind w:left="198" w:right="85"/>
      </w:pPr>
    </w:p>
    <w:p>
      <w:pPr>
        <w:spacing w:before="40" w:after="80"/>
        <w:ind w:left="198" w:right="85"/>
      </w:pPr>
    </w:p>
    <w:p>
      <w:pPr>
        <w:spacing w:before="40" w:after="80"/>
        <w:ind w:left="198" w:right="85"/>
      </w:pPr>
    </w:p>
    <w:p>
      <w:pPr>
        <w:spacing w:before="40" w:after="80"/>
        <w:ind w:left="198" w:right="85"/>
      </w:pPr>
    </w:p>
    <w:p>
      <w:pPr>
        <w:spacing w:before="40" w:after="80"/>
        <w:ind w:left="198" w:right="85"/>
      </w:pPr>
      <w:r>
        <w:br/>
      </w:r>
    </w:p>
    <w:p>
      <w:pPr>
        <w:spacing w:after="120"/>
        <w:jc w:val="center"/>
      </w:pPr>
      <w:r>
        <w:rPr>
          <w:rFonts w:ascii="Times New Roman" w:hAnsi="Times New Roman" w:eastAsia="Times New Roman"/>
          <w:b/>
          <w:sz w:val="24"/>
        </w:rPr>
        <w:t>PHỤ LỤC 06 - BẢNG CĂN CỨ PHÁP LÝ THAM CHIẾU NỘI BỘ</w:t>
      </w:r>
    </w:p>
    <w:p>
      <w:pPr>
        <w:spacing w:after="100"/>
      </w:pPr>
      <w:r>
        <w:rPr>
          <w:rFonts w:ascii="Times New Roman" w:hAnsi="Times New Roman" w:eastAsia="Times New Roman"/>
          <w:i/>
          <w:color w:val="505050"/>
          <w:sz w:val="19"/>
        </w:rPr>
        <w:t>Lưu ý: Phụ lục này dùng để LEXcentra/luật sư/kế toán rà soát và đối chiếu. Đây là phần tham chiếu nội bộ, không thay thế tư vấn pháp lý chính thức. Trước khi ký hợp đồng giá trị lớn hoặc công trình nhà nước, cần kiểm tra văn bản có hiệu lực tại thời điểm ký/thực hiện.</w:t>
      </w:r>
    </w:p>
    <w:tbl>
      <w:tblPr>
        <w:tblStyle w:val="TableGrid"/>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535"/>
        <w:gridCol w:w="2535"/>
        <w:gridCol w:w="2535"/>
        <w:gridCol w:w="2535"/>
      </w:tblGrid>
      <w:tr>
        <w:tc>
          <w:tcPr>
            <w:tcW w:type="dxa" w:w="2535"/>
            <w:vAlign w:val="top"/>
            <w:shd w:fill="D9EAF7"/>
          </w:tcPr>
          <w:p>
            <w:pPr>
              <w:spacing w:after="0"/>
            </w:pPr>
            <w:r/>
            <w:r>
              <w:rPr>
                <w:rFonts w:ascii="Times New Roman" w:hAnsi="Times New Roman" w:eastAsia="Times New Roman"/>
                <w:b/>
                <w:sz w:val="17"/>
              </w:rPr>
              <w:t>Nhóm điều khoản</w:t>
            </w:r>
          </w:p>
        </w:tc>
        <w:tc>
          <w:tcPr>
            <w:tcW w:type="dxa" w:w="2535"/>
            <w:vAlign w:val="top"/>
            <w:shd w:fill="D9EAF7"/>
          </w:tcPr>
          <w:p>
            <w:pPr>
              <w:spacing w:after="0"/>
            </w:pPr>
            <w:r/>
            <w:r>
              <w:rPr>
                <w:rFonts w:ascii="Times New Roman" w:hAnsi="Times New Roman" w:eastAsia="Times New Roman"/>
                <w:b/>
                <w:sz w:val="17"/>
              </w:rPr>
              <w:t>Điều trong hợp đồng</w:t>
            </w:r>
          </w:p>
        </w:tc>
        <w:tc>
          <w:tcPr>
            <w:tcW w:type="dxa" w:w="2535"/>
            <w:vAlign w:val="top"/>
            <w:shd w:fill="D9EAF7"/>
          </w:tcPr>
          <w:p>
            <w:pPr>
              <w:spacing w:after="0"/>
            </w:pPr>
            <w:r/>
            <w:r>
              <w:rPr>
                <w:rFonts w:ascii="Times New Roman" w:hAnsi="Times New Roman" w:eastAsia="Times New Roman"/>
                <w:b/>
                <w:sz w:val="17"/>
              </w:rPr>
              <w:t>Văn bản/điều khoản tham chiếu</w:t>
            </w:r>
          </w:p>
        </w:tc>
        <w:tc>
          <w:tcPr>
            <w:tcW w:type="dxa" w:w="2535"/>
            <w:vAlign w:val="top"/>
            <w:shd w:fill="D9EAF7"/>
          </w:tcPr>
          <w:p>
            <w:pPr>
              <w:spacing w:after="0"/>
            </w:pPr>
            <w:r/>
            <w:r>
              <w:rPr>
                <w:rFonts w:ascii="Times New Roman" w:hAnsi="Times New Roman" w:eastAsia="Times New Roman"/>
                <w:b/>
                <w:sz w:val="17"/>
              </w:rPr>
              <w:t>Ý nghĩa áp dụng</w:t>
            </w:r>
          </w:p>
        </w:tc>
      </w:tr>
      <w:tr>
        <w:tc>
          <w:tcPr>
            <w:tcW w:type="dxa" w:w="2535"/>
            <w:vAlign w:val="top"/>
          </w:tcPr>
          <w:p>
            <w:pPr>
              <w:spacing w:after="0"/>
            </w:pPr>
            <w:r/>
            <w:r>
              <w:rPr>
                <w:rFonts w:ascii="Times New Roman" w:hAnsi="Times New Roman" w:eastAsia="Times New Roman"/>
                <w:b w:val="0"/>
                <w:sz w:val="16"/>
              </w:rPr>
              <w:t>Giao kết, hồ sơ hợp đồng, thứ tự ưu tiên</w:t>
            </w:r>
          </w:p>
        </w:tc>
        <w:tc>
          <w:tcPr>
            <w:tcW w:type="dxa" w:w="2535"/>
            <w:vAlign w:val="top"/>
          </w:tcPr>
          <w:p>
            <w:pPr>
              <w:spacing w:after="0"/>
            </w:pPr>
            <w:r/>
            <w:r>
              <w:rPr>
                <w:rFonts w:ascii="Times New Roman" w:hAnsi="Times New Roman" w:eastAsia="Times New Roman"/>
                <w:b w:val="0"/>
                <w:sz w:val="16"/>
              </w:rPr>
              <w:t>Điều 1</w:t>
            </w:r>
          </w:p>
        </w:tc>
        <w:tc>
          <w:tcPr>
            <w:tcW w:type="dxa" w:w="2535"/>
            <w:vAlign w:val="top"/>
          </w:tcPr>
          <w:p>
            <w:pPr>
              <w:spacing w:after="0"/>
            </w:pPr>
            <w:r/>
            <w:r>
              <w:rPr>
                <w:rFonts w:ascii="Times New Roman" w:hAnsi="Times New Roman" w:eastAsia="Times New Roman"/>
                <w:b w:val="0"/>
                <w:sz w:val="16"/>
              </w:rPr>
              <w:t>Bộ luật Dân sự 2015: Điều 385, 398, 400; Luật Giao dịch điện tử 2023: Điều 8, 11.</w:t>
            </w:r>
          </w:p>
        </w:tc>
        <w:tc>
          <w:tcPr>
            <w:tcW w:type="dxa" w:w="2535"/>
            <w:vAlign w:val="top"/>
          </w:tcPr>
          <w:p>
            <w:pPr>
              <w:spacing w:after="0"/>
            </w:pPr>
            <w:r/>
            <w:r>
              <w:rPr>
                <w:rFonts w:ascii="Times New Roman" w:hAnsi="Times New Roman" w:eastAsia="Times New Roman"/>
                <w:b w:val="0"/>
                <w:sz w:val="16"/>
              </w:rPr>
              <w:t>Làm rõ căn cứ hình thành hợp đồng, hồ sơ hợp đồng, thứ tự ưu tiên và giá trị trao đổi điện tử.</w:t>
            </w:r>
          </w:p>
        </w:tc>
      </w:tr>
      <w:tr>
        <w:tc>
          <w:tcPr>
            <w:tcW w:type="dxa" w:w="2535"/>
            <w:vAlign w:val="top"/>
          </w:tcPr>
          <w:p>
            <w:pPr>
              <w:spacing w:after="0"/>
            </w:pPr>
            <w:r/>
            <w:r>
              <w:rPr>
                <w:rFonts w:ascii="Times New Roman" w:hAnsi="Times New Roman" w:eastAsia="Times New Roman"/>
                <w:b w:val="0"/>
                <w:sz w:val="16"/>
              </w:rPr>
              <w:t>Giá trị, thuế, điều chỉnh giá</w:t>
            </w:r>
          </w:p>
        </w:tc>
        <w:tc>
          <w:tcPr>
            <w:tcW w:type="dxa" w:w="2535"/>
            <w:vAlign w:val="top"/>
          </w:tcPr>
          <w:p>
            <w:pPr>
              <w:spacing w:after="0"/>
            </w:pPr>
            <w:r/>
            <w:r>
              <w:rPr>
                <w:rFonts w:ascii="Times New Roman" w:hAnsi="Times New Roman" w:eastAsia="Times New Roman"/>
                <w:b w:val="0"/>
                <w:sz w:val="16"/>
              </w:rPr>
              <w:t>Điều 2, 11</w:t>
            </w:r>
          </w:p>
        </w:tc>
        <w:tc>
          <w:tcPr>
            <w:tcW w:type="dxa" w:w="2535"/>
            <w:vAlign w:val="top"/>
          </w:tcPr>
          <w:p>
            <w:pPr>
              <w:spacing w:after="0"/>
            </w:pPr>
            <w:r/>
            <w:r>
              <w:rPr>
                <w:rFonts w:ascii="Times New Roman" w:hAnsi="Times New Roman" w:eastAsia="Times New Roman"/>
                <w:b w:val="0"/>
                <w:sz w:val="16"/>
              </w:rPr>
              <w:t>Bộ luật Dân sự 2015 về nghĩa vụ/thỏa thuận; Luật Thương mại 2005 về giao dịch thương mại; pháp luật thuế, hóa đơn, chứng từ hiện hành.</w:t>
            </w:r>
          </w:p>
        </w:tc>
        <w:tc>
          <w:tcPr>
            <w:tcW w:type="dxa" w:w="2535"/>
            <w:vAlign w:val="top"/>
          </w:tcPr>
          <w:p>
            <w:pPr>
              <w:spacing w:after="0"/>
            </w:pPr>
            <w:r/>
            <w:r>
              <w:rPr>
                <w:rFonts w:ascii="Times New Roman" w:hAnsi="Times New Roman" w:eastAsia="Times New Roman"/>
                <w:b w:val="0"/>
                <w:sz w:val="16"/>
              </w:rPr>
              <w:t>Tránh tranh chấp do thay đổi thuế, phí, giá vật tư/nhân công và cách hiểu VAT.</w:t>
            </w:r>
          </w:p>
        </w:tc>
      </w:tr>
      <w:tr>
        <w:tc>
          <w:tcPr>
            <w:tcW w:type="dxa" w:w="2535"/>
            <w:vAlign w:val="top"/>
          </w:tcPr>
          <w:p>
            <w:pPr>
              <w:spacing w:after="0"/>
            </w:pPr>
            <w:r/>
            <w:r>
              <w:rPr>
                <w:rFonts w:ascii="Times New Roman" w:hAnsi="Times New Roman" w:eastAsia="Times New Roman"/>
                <w:b w:val="0"/>
                <w:sz w:val="16"/>
              </w:rPr>
              <w:t>Thanh toán, lãi chậm trả</w:t>
            </w:r>
          </w:p>
        </w:tc>
        <w:tc>
          <w:tcPr>
            <w:tcW w:type="dxa" w:w="2535"/>
            <w:vAlign w:val="top"/>
          </w:tcPr>
          <w:p>
            <w:pPr>
              <w:spacing w:after="0"/>
            </w:pPr>
            <w:r/>
            <w:r>
              <w:rPr>
                <w:rFonts w:ascii="Times New Roman" w:hAnsi="Times New Roman" w:eastAsia="Times New Roman"/>
                <w:b w:val="0"/>
                <w:sz w:val="16"/>
              </w:rPr>
              <w:t>Điều 6</w:t>
            </w:r>
          </w:p>
        </w:tc>
        <w:tc>
          <w:tcPr>
            <w:tcW w:type="dxa" w:w="2535"/>
            <w:vAlign w:val="top"/>
          </w:tcPr>
          <w:p>
            <w:pPr>
              <w:spacing w:after="0"/>
            </w:pPr>
            <w:r/>
            <w:r>
              <w:rPr>
                <w:rFonts w:ascii="Times New Roman" w:hAnsi="Times New Roman" w:eastAsia="Times New Roman"/>
                <w:b w:val="0"/>
                <w:sz w:val="16"/>
              </w:rPr>
              <w:t>Luật Thương mại 2005 Điều 306; Bộ luật Dân sự 2015 Điều 357, 468; Nghị quyết 01/2019/NQ-HĐTP Điều 11.</w:t>
            </w:r>
          </w:p>
        </w:tc>
        <w:tc>
          <w:tcPr>
            <w:tcW w:type="dxa" w:w="2535"/>
            <w:vAlign w:val="top"/>
          </w:tcPr>
          <w:p>
            <w:pPr>
              <w:spacing w:after="0"/>
            </w:pPr>
            <w:r/>
            <w:r>
              <w:rPr>
                <w:rFonts w:ascii="Times New Roman" w:hAnsi="Times New Roman" w:eastAsia="Times New Roman"/>
                <w:b w:val="0"/>
                <w:sz w:val="16"/>
              </w:rPr>
              <w:t>Quy định rõ lãi chậm trả để giảm rủi ro phải chứng minh lãi suất thị trường khi tranh chấp.</w:t>
            </w:r>
          </w:p>
        </w:tc>
      </w:tr>
      <w:tr>
        <w:tc>
          <w:tcPr>
            <w:tcW w:type="dxa" w:w="2535"/>
            <w:vAlign w:val="top"/>
          </w:tcPr>
          <w:p>
            <w:pPr>
              <w:spacing w:after="0"/>
            </w:pPr>
            <w:r/>
            <w:r>
              <w:rPr>
                <w:rFonts w:ascii="Times New Roman" w:hAnsi="Times New Roman" w:eastAsia="Times New Roman"/>
                <w:b w:val="0"/>
                <w:sz w:val="16"/>
              </w:rPr>
              <w:t>Tạm ngừng do chậm thanh toán</w:t>
            </w:r>
          </w:p>
        </w:tc>
        <w:tc>
          <w:tcPr>
            <w:tcW w:type="dxa" w:w="2535"/>
            <w:vAlign w:val="top"/>
          </w:tcPr>
          <w:p>
            <w:pPr>
              <w:spacing w:after="0"/>
            </w:pPr>
            <w:r/>
            <w:r>
              <w:rPr>
                <w:rFonts w:ascii="Times New Roman" w:hAnsi="Times New Roman" w:eastAsia="Times New Roman"/>
                <w:b w:val="0"/>
                <w:sz w:val="16"/>
              </w:rPr>
              <w:t>Điều 6, 16</w:t>
            </w:r>
          </w:p>
        </w:tc>
        <w:tc>
          <w:tcPr>
            <w:tcW w:type="dxa" w:w="2535"/>
            <w:vAlign w:val="top"/>
          </w:tcPr>
          <w:p>
            <w:pPr>
              <w:spacing w:after="0"/>
            </w:pPr>
            <w:r/>
            <w:r>
              <w:rPr>
                <w:rFonts w:ascii="Times New Roman" w:hAnsi="Times New Roman" w:eastAsia="Times New Roman"/>
                <w:b w:val="0"/>
                <w:sz w:val="16"/>
              </w:rPr>
              <w:t>Luật Thương mại 2005 Điều 308; Bộ luật Dân sự 2015 Điều 351, 411; quy định về vi phạm nghĩa vụ và hoãn/tạm ngừng thực hiện nghĩa vụ.</w:t>
            </w:r>
          </w:p>
        </w:tc>
        <w:tc>
          <w:tcPr>
            <w:tcW w:type="dxa" w:w="2535"/>
            <w:vAlign w:val="top"/>
          </w:tcPr>
          <w:p>
            <w:pPr>
              <w:spacing w:after="0"/>
            </w:pPr>
            <w:r/>
            <w:r>
              <w:rPr>
                <w:rFonts w:ascii="Times New Roman" w:hAnsi="Times New Roman" w:eastAsia="Times New Roman"/>
                <w:b w:val="0"/>
                <w:sz w:val="16"/>
              </w:rPr>
              <w:t>Bảo vệ Bên B khi tạm ngừng thi công do Bên A chậm thanh toán, nhưng vẫn cần thông báo/chứng cứ phù hợp.</w:t>
            </w:r>
          </w:p>
        </w:tc>
      </w:tr>
      <w:tr>
        <w:tc>
          <w:tcPr>
            <w:tcW w:type="dxa" w:w="2535"/>
            <w:vAlign w:val="top"/>
          </w:tcPr>
          <w:p>
            <w:pPr>
              <w:spacing w:after="0"/>
            </w:pPr>
            <w:r/>
            <w:r>
              <w:rPr>
                <w:rFonts w:ascii="Times New Roman" w:hAnsi="Times New Roman" w:eastAsia="Times New Roman"/>
                <w:b w:val="0"/>
                <w:sz w:val="16"/>
              </w:rPr>
              <w:t>Nghiệm thu mặc nhiên</w:t>
            </w:r>
          </w:p>
        </w:tc>
        <w:tc>
          <w:tcPr>
            <w:tcW w:type="dxa" w:w="2535"/>
            <w:vAlign w:val="top"/>
          </w:tcPr>
          <w:p>
            <w:pPr>
              <w:spacing w:after="0"/>
            </w:pPr>
            <w:r/>
            <w:r>
              <w:rPr>
                <w:rFonts w:ascii="Times New Roman" w:hAnsi="Times New Roman" w:eastAsia="Times New Roman"/>
                <w:b w:val="0"/>
                <w:sz w:val="16"/>
              </w:rPr>
              <w:t>Điều 7</w:t>
            </w:r>
          </w:p>
        </w:tc>
        <w:tc>
          <w:tcPr>
            <w:tcW w:type="dxa" w:w="2535"/>
            <w:vAlign w:val="top"/>
          </w:tcPr>
          <w:p>
            <w:pPr>
              <w:spacing w:after="0"/>
            </w:pPr>
            <w:r/>
            <w:r>
              <w:rPr>
                <w:rFonts w:ascii="Times New Roman" w:hAnsi="Times New Roman" w:eastAsia="Times New Roman"/>
                <w:b w:val="0"/>
                <w:sz w:val="16"/>
              </w:rPr>
              <w:t>Bộ luật Dân sự 2015 Điều 385, 394, 400; nguyên tắc tự do thỏa thuận và chứng cứ sử dụng thực tế.</w:t>
            </w:r>
          </w:p>
        </w:tc>
        <w:tc>
          <w:tcPr>
            <w:tcW w:type="dxa" w:w="2535"/>
            <w:vAlign w:val="top"/>
          </w:tcPr>
          <w:p>
            <w:pPr>
              <w:spacing w:after="0"/>
            </w:pPr>
            <w:r/>
            <w:r>
              <w:rPr>
                <w:rFonts w:ascii="Times New Roman" w:hAnsi="Times New Roman" w:eastAsia="Times New Roman"/>
                <w:b w:val="0"/>
                <w:sz w:val="16"/>
              </w:rPr>
              <w:t>Ấn định 05/07/03 ngày để tránh mơ hồ “thời hạn hợp lý”; tăng cơ sở thanh toán khi Bên A trì hoãn nghiệm thu.</w:t>
            </w:r>
          </w:p>
        </w:tc>
      </w:tr>
      <w:tr>
        <w:tc>
          <w:tcPr>
            <w:tcW w:type="dxa" w:w="2535"/>
            <w:vAlign w:val="top"/>
          </w:tcPr>
          <w:p>
            <w:pPr>
              <w:spacing w:after="0"/>
            </w:pPr>
            <w:r/>
            <w:r>
              <w:rPr>
                <w:rFonts w:ascii="Times New Roman" w:hAnsi="Times New Roman" w:eastAsia="Times New Roman"/>
                <w:b w:val="0"/>
                <w:sz w:val="16"/>
              </w:rPr>
              <w:t>Bảo hành và loại trừ bảo hành</w:t>
            </w:r>
          </w:p>
        </w:tc>
        <w:tc>
          <w:tcPr>
            <w:tcW w:type="dxa" w:w="2535"/>
            <w:vAlign w:val="top"/>
          </w:tcPr>
          <w:p>
            <w:pPr>
              <w:spacing w:after="0"/>
            </w:pPr>
            <w:r/>
            <w:r>
              <w:rPr>
                <w:rFonts w:ascii="Times New Roman" w:hAnsi="Times New Roman" w:eastAsia="Times New Roman"/>
                <w:b w:val="0"/>
                <w:sz w:val="16"/>
              </w:rPr>
              <w:t>Điều 8</w:t>
            </w:r>
          </w:p>
        </w:tc>
        <w:tc>
          <w:tcPr>
            <w:tcW w:type="dxa" w:w="2535"/>
            <w:vAlign w:val="top"/>
          </w:tcPr>
          <w:p>
            <w:pPr>
              <w:spacing w:after="0"/>
            </w:pPr>
            <w:r/>
            <w:r>
              <w:rPr>
                <w:rFonts w:ascii="Times New Roman" w:hAnsi="Times New Roman" w:eastAsia="Times New Roman"/>
                <w:b w:val="0"/>
                <w:sz w:val="16"/>
              </w:rPr>
              <w:t>Luật Thương mại 2005 Điều 49; Bộ luật Dân sự 2015 Điều 351, 405, 406; Luật Xây dựng và văn bản quản lý chất lượng hiện hành nếu áp dụng.</w:t>
            </w:r>
          </w:p>
        </w:tc>
        <w:tc>
          <w:tcPr>
            <w:tcW w:type="dxa" w:w="2535"/>
            <w:vAlign w:val="top"/>
          </w:tcPr>
          <w:p>
            <w:pPr>
              <w:spacing w:after="0"/>
            </w:pPr>
            <w:r/>
            <w:r>
              <w:rPr>
                <w:rFonts w:ascii="Times New Roman" w:hAnsi="Times New Roman" w:eastAsia="Times New Roman"/>
                <w:b w:val="0"/>
                <w:sz w:val="16"/>
              </w:rPr>
              <w:t>Làm rõ thời hạn 12 tháng, nghĩa vụ thông báo lỗi, phạm vi loại trừ, tránh điều khoản miễn trách nhiệm quá rộng nếu là mẫu do Bên B soạn.</w:t>
            </w:r>
          </w:p>
        </w:tc>
      </w:tr>
      <w:tr>
        <w:tc>
          <w:tcPr>
            <w:tcW w:type="dxa" w:w="2535"/>
            <w:vAlign w:val="top"/>
          </w:tcPr>
          <w:p>
            <w:pPr>
              <w:spacing w:after="0"/>
            </w:pPr>
            <w:r/>
            <w:r>
              <w:rPr>
                <w:rFonts w:ascii="Times New Roman" w:hAnsi="Times New Roman" w:eastAsia="Times New Roman"/>
                <w:b w:val="0"/>
                <w:sz w:val="16"/>
              </w:rPr>
              <w:t>Phạt vi phạm và bồi thường</w:t>
            </w:r>
          </w:p>
        </w:tc>
        <w:tc>
          <w:tcPr>
            <w:tcW w:type="dxa" w:w="2535"/>
            <w:vAlign w:val="top"/>
          </w:tcPr>
          <w:p>
            <w:pPr>
              <w:spacing w:after="0"/>
            </w:pPr>
            <w:r/>
            <w:r>
              <w:rPr>
                <w:rFonts w:ascii="Times New Roman" w:hAnsi="Times New Roman" w:eastAsia="Times New Roman"/>
                <w:b w:val="0"/>
                <w:sz w:val="16"/>
              </w:rPr>
              <w:t>Điều 10</w:t>
            </w:r>
          </w:p>
        </w:tc>
        <w:tc>
          <w:tcPr>
            <w:tcW w:type="dxa" w:w="2535"/>
            <w:vAlign w:val="top"/>
          </w:tcPr>
          <w:p>
            <w:pPr>
              <w:spacing w:after="0"/>
            </w:pPr>
            <w:r/>
            <w:r>
              <w:rPr>
                <w:rFonts w:ascii="Times New Roman" w:hAnsi="Times New Roman" w:eastAsia="Times New Roman"/>
                <w:b w:val="0"/>
                <w:sz w:val="16"/>
              </w:rPr>
              <w:t>Luật Thương mại 2005 Điều 300, 301, 302-307; Bộ luật Dân sự 2015 Điều 418.</w:t>
            </w:r>
          </w:p>
        </w:tc>
        <w:tc>
          <w:tcPr>
            <w:tcW w:type="dxa" w:w="2535"/>
            <w:vAlign w:val="top"/>
          </w:tcPr>
          <w:p>
            <w:pPr>
              <w:spacing w:after="0"/>
            </w:pPr>
            <w:r/>
            <w:r>
              <w:rPr>
                <w:rFonts w:ascii="Times New Roman" w:hAnsi="Times New Roman" w:eastAsia="Times New Roman"/>
                <w:b w:val="0"/>
                <w:sz w:val="16"/>
              </w:rPr>
              <w:t>Xác định rõ mức phạt 8%/5% theo phần nghĩa vụ bị vi phạm để tăng khả năng được chấp nhận khi yêu cầu phạt.</w:t>
            </w:r>
          </w:p>
        </w:tc>
      </w:tr>
      <w:tr>
        <w:tc>
          <w:tcPr>
            <w:tcW w:type="dxa" w:w="2535"/>
            <w:vAlign w:val="top"/>
          </w:tcPr>
          <w:p>
            <w:pPr>
              <w:spacing w:after="0"/>
            </w:pPr>
            <w:r/>
            <w:r>
              <w:rPr>
                <w:rFonts w:ascii="Times New Roman" w:hAnsi="Times New Roman" w:eastAsia="Times New Roman"/>
                <w:b w:val="0"/>
                <w:sz w:val="16"/>
              </w:rPr>
              <w:t>Bảo mật thông tin</w:t>
            </w:r>
          </w:p>
        </w:tc>
        <w:tc>
          <w:tcPr>
            <w:tcW w:type="dxa" w:w="2535"/>
            <w:vAlign w:val="top"/>
          </w:tcPr>
          <w:p>
            <w:pPr>
              <w:spacing w:after="0"/>
            </w:pPr>
            <w:r/>
            <w:r>
              <w:rPr>
                <w:rFonts w:ascii="Times New Roman" w:hAnsi="Times New Roman" w:eastAsia="Times New Roman"/>
                <w:b w:val="0"/>
                <w:sz w:val="16"/>
              </w:rPr>
              <w:t>Điều 12</w:t>
            </w:r>
          </w:p>
        </w:tc>
        <w:tc>
          <w:tcPr>
            <w:tcW w:type="dxa" w:w="2535"/>
            <w:vAlign w:val="top"/>
          </w:tcPr>
          <w:p>
            <w:pPr>
              <w:spacing w:after="0"/>
            </w:pPr>
            <w:r/>
            <w:r>
              <w:rPr>
                <w:rFonts w:ascii="Times New Roman" w:hAnsi="Times New Roman" w:eastAsia="Times New Roman"/>
                <w:b w:val="0"/>
                <w:sz w:val="16"/>
              </w:rPr>
              <w:t>Bộ luật Dân sự 2015 Điều 387 và quy định bồi thường thiệt hại; Luật Thương mại 2005 Điều 289.</w:t>
            </w:r>
          </w:p>
        </w:tc>
        <w:tc>
          <w:tcPr>
            <w:tcW w:type="dxa" w:w="2535"/>
            <w:vAlign w:val="top"/>
          </w:tcPr>
          <w:p>
            <w:pPr>
              <w:spacing w:after="0"/>
            </w:pPr>
            <w:r/>
            <w:r>
              <w:rPr>
                <w:rFonts w:ascii="Times New Roman" w:hAnsi="Times New Roman" w:eastAsia="Times New Roman"/>
                <w:b w:val="0"/>
                <w:sz w:val="16"/>
              </w:rPr>
              <w:t>Giữ nghĩa vụ bảo mật 24 tháng, thêm căn cứ bồi thường, bảo vệ giá, bản vẽ, hồ sơ, dữ liệu khách hàng/kỹ thuật.</w:t>
            </w:r>
          </w:p>
        </w:tc>
      </w:tr>
      <w:tr>
        <w:tc>
          <w:tcPr>
            <w:tcW w:type="dxa" w:w="2535"/>
            <w:vAlign w:val="top"/>
          </w:tcPr>
          <w:p>
            <w:pPr>
              <w:spacing w:after="0"/>
            </w:pPr>
            <w:r/>
            <w:r>
              <w:rPr>
                <w:rFonts w:ascii="Times New Roman" w:hAnsi="Times New Roman" w:eastAsia="Times New Roman"/>
                <w:b w:val="0"/>
                <w:sz w:val="16"/>
              </w:rPr>
              <w:t>Trao đổi điện tử và chứng cứ</w:t>
            </w:r>
          </w:p>
        </w:tc>
        <w:tc>
          <w:tcPr>
            <w:tcW w:type="dxa" w:w="2535"/>
            <w:vAlign w:val="top"/>
          </w:tcPr>
          <w:p>
            <w:pPr>
              <w:spacing w:after="0"/>
            </w:pPr>
            <w:r/>
            <w:r>
              <w:rPr>
                <w:rFonts w:ascii="Times New Roman" w:hAnsi="Times New Roman" w:eastAsia="Times New Roman"/>
                <w:b w:val="0"/>
                <w:sz w:val="16"/>
              </w:rPr>
              <w:t>Điều 14</w:t>
            </w:r>
          </w:p>
        </w:tc>
        <w:tc>
          <w:tcPr>
            <w:tcW w:type="dxa" w:w="2535"/>
            <w:vAlign w:val="top"/>
          </w:tcPr>
          <w:p>
            <w:pPr>
              <w:spacing w:after="0"/>
            </w:pPr>
            <w:r/>
            <w:r>
              <w:rPr>
                <w:rFonts w:ascii="Times New Roman" w:hAnsi="Times New Roman" w:eastAsia="Times New Roman"/>
                <w:b w:val="0"/>
                <w:sz w:val="16"/>
              </w:rPr>
              <w:t>Luật Giao dịch điện tử 2023 Điều 8, 11, 23; Bộ luật Tố tụng dân sự 2015 Điều 93.</w:t>
            </w:r>
          </w:p>
        </w:tc>
        <w:tc>
          <w:tcPr>
            <w:tcW w:type="dxa" w:w="2535"/>
            <w:vAlign w:val="top"/>
          </w:tcPr>
          <w:p>
            <w:pPr>
              <w:spacing w:after="0"/>
            </w:pPr>
            <w:r/>
            <w:r>
              <w:rPr>
                <w:rFonts w:ascii="Times New Roman" w:hAnsi="Times New Roman" w:eastAsia="Times New Roman"/>
                <w:b w:val="0"/>
                <w:sz w:val="16"/>
              </w:rPr>
              <w:t>Email, tin nhắn, log hệ thống, screenshot/metadata là nguồn chứng cứ nếu lưu trữ và xác thực được.</w:t>
            </w:r>
          </w:p>
        </w:tc>
      </w:tr>
      <w:tr>
        <w:tc>
          <w:tcPr>
            <w:tcW w:type="dxa" w:w="2535"/>
            <w:vAlign w:val="top"/>
          </w:tcPr>
          <w:p>
            <w:pPr>
              <w:spacing w:after="0"/>
            </w:pPr>
            <w:r/>
            <w:r>
              <w:rPr>
                <w:rFonts w:ascii="Times New Roman" w:hAnsi="Times New Roman" w:eastAsia="Times New Roman"/>
                <w:b w:val="0"/>
                <w:sz w:val="16"/>
              </w:rPr>
              <w:t>Bất khả kháng</w:t>
            </w:r>
          </w:p>
        </w:tc>
        <w:tc>
          <w:tcPr>
            <w:tcW w:type="dxa" w:w="2535"/>
            <w:vAlign w:val="top"/>
          </w:tcPr>
          <w:p>
            <w:pPr>
              <w:spacing w:after="0"/>
            </w:pPr>
            <w:r/>
            <w:r>
              <w:rPr>
                <w:rFonts w:ascii="Times New Roman" w:hAnsi="Times New Roman" w:eastAsia="Times New Roman"/>
                <w:b w:val="0"/>
                <w:sz w:val="16"/>
              </w:rPr>
              <w:t>Điều 15</w:t>
            </w:r>
          </w:p>
        </w:tc>
        <w:tc>
          <w:tcPr>
            <w:tcW w:type="dxa" w:w="2535"/>
            <w:vAlign w:val="top"/>
          </w:tcPr>
          <w:p>
            <w:pPr>
              <w:spacing w:after="0"/>
            </w:pPr>
            <w:r/>
            <w:r>
              <w:rPr>
                <w:rFonts w:ascii="Times New Roman" w:hAnsi="Times New Roman" w:eastAsia="Times New Roman"/>
                <w:b w:val="0"/>
                <w:sz w:val="16"/>
              </w:rPr>
              <w:t>Bộ luật Dân sự 2015 về sự kiện bất khả kháng và trách nhiệm do vi phạm nghĩa vụ; Luật Thương mại 2005 về miễn trách nhiệm trong một số trường hợp.</w:t>
            </w:r>
          </w:p>
        </w:tc>
        <w:tc>
          <w:tcPr>
            <w:tcW w:type="dxa" w:w="2535"/>
            <w:vAlign w:val="top"/>
          </w:tcPr>
          <w:p>
            <w:pPr>
              <w:spacing w:after="0"/>
            </w:pPr>
            <w:r/>
            <w:r>
              <w:rPr>
                <w:rFonts w:ascii="Times New Roman" w:hAnsi="Times New Roman" w:eastAsia="Times New Roman"/>
                <w:b w:val="0"/>
                <w:sz w:val="16"/>
              </w:rPr>
              <w:t>Giải thích khi nào được gia hạn tiến độ/miễn trách nhiệm tương ứng.</w:t>
            </w:r>
          </w:p>
        </w:tc>
      </w:tr>
      <w:tr>
        <w:tc>
          <w:tcPr>
            <w:tcW w:type="dxa" w:w="2535"/>
            <w:vAlign w:val="top"/>
          </w:tcPr>
          <w:p>
            <w:pPr>
              <w:spacing w:after="0"/>
            </w:pPr>
            <w:r/>
            <w:r>
              <w:rPr>
                <w:rFonts w:ascii="Times New Roman" w:hAnsi="Times New Roman" w:eastAsia="Times New Roman"/>
                <w:b w:val="0"/>
                <w:sz w:val="16"/>
              </w:rPr>
              <w:t>Tạm ngừng/chấm dứt</w:t>
            </w:r>
          </w:p>
        </w:tc>
        <w:tc>
          <w:tcPr>
            <w:tcW w:type="dxa" w:w="2535"/>
            <w:vAlign w:val="top"/>
          </w:tcPr>
          <w:p>
            <w:pPr>
              <w:spacing w:after="0"/>
            </w:pPr>
            <w:r/>
            <w:r>
              <w:rPr>
                <w:rFonts w:ascii="Times New Roman" w:hAnsi="Times New Roman" w:eastAsia="Times New Roman"/>
                <w:b w:val="0"/>
                <w:sz w:val="16"/>
              </w:rPr>
              <w:t>Điều 16</w:t>
            </w:r>
          </w:p>
        </w:tc>
        <w:tc>
          <w:tcPr>
            <w:tcW w:type="dxa" w:w="2535"/>
            <w:vAlign w:val="top"/>
          </w:tcPr>
          <w:p>
            <w:pPr>
              <w:spacing w:after="0"/>
            </w:pPr>
            <w:r/>
            <w:r>
              <w:rPr>
                <w:rFonts w:ascii="Times New Roman" w:hAnsi="Times New Roman" w:eastAsia="Times New Roman"/>
                <w:b w:val="0"/>
                <w:sz w:val="16"/>
              </w:rPr>
              <w:t>Bộ luật Dân sự 2015 Điều 423, 424, 428; Luật Thương mại 2005 Điều 308, 310, 312.</w:t>
            </w:r>
          </w:p>
        </w:tc>
        <w:tc>
          <w:tcPr>
            <w:tcW w:type="dxa" w:w="2535"/>
            <w:vAlign w:val="top"/>
          </w:tcPr>
          <w:p>
            <w:pPr>
              <w:spacing w:after="0"/>
            </w:pPr>
            <w:r/>
            <w:r>
              <w:rPr>
                <w:rFonts w:ascii="Times New Roman" w:hAnsi="Times New Roman" w:eastAsia="Times New Roman"/>
                <w:b w:val="0"/>
                <w:sz w:val="16"/>
              </w:rPr>
              <w:t>Định nghĩa cơ sở tạm ngừng/chấm dứt, yêu cầu thông báo và hậu quả pháp lý, tránh bị coi là tự ý vi phạm hợp đồng.</w:t>
            </w:r>
          </w:p>
        </w:tc>
      </w:tr>
      <w:tr>
        <w:tc>
          <w:tcPr>
            <w:tcW w:type="dxa" w:w="2535"/>
            <w:vAlign w:val="top"/>
          </w:tcPr>
          <w:p>
            <w:pPr>
              <w:spacing w:after="0"/>
            </w:pPr>
            <w:r/>
            <w:r>
              <w:rPr>
                <w:rFonts w:ascii="Times New Roman" w:hAnsi="Times New Roman" w:eastAsia="Times New Roman"/>
                <w:b w:val="0"/>
                <w:sz w:val="16"/>
              </w:rPr>
              <w:t>Tranh chấp và thẩm quyền</w:t>
            </w:r>
          </w:p>
        </w:tc>
        <w:tc>
          <w:tcPr>
            <w:tcW w:type="dxa" w:w="2535"/>
            <w:vAlign w:val="top"/>
          </w:tcPr>
          <w:p>
            <w:pPr>
              <w:spacing w:after="0"/>
            </w:pPr>
            <w:r/>
            <w:r>
              <w:rPr>
                <w:rFonts w:ascii="Times New Roman" w:hAnsi="Times New Roman" w:eastAsia="Times New Roman"/>
                <w:b w:val="0"/>
                <w:sz w:val="16"/>
              </w:rPr>
              <w:t>Điều 17</w:t>
            </w:r>
          </w:p>
        </w:tc>
        <w:tc>
          <w:tcPr>
            <w:tcW w:type="dxa" w:w="2535"/>
            <w:vAlign w:val="top"/>
          </w:tcPr>
          <w:p>
            <w:pPr>
              <w:spacing w:after="0"/>
            </w:pPr>
            <w:r/>
            <w:r>
              <w:rPr>
                <w:rFonts w:ascii="Times New Roman" w:hAnsi="Times New Roman" w:eastAsia="Times New Roman"/>
                <w:b w:val="0"/>
                <w:sz w:val="16"/>
              </w:rPr>
              <w:t>Bộ luật Tố tụng dân sự 2015 và quy định pháp luật hiện hành về thẩm quyền Tòa án.</w:t>
            </w:r>
          </w:p>
        </w:tc>
        <w:tc>
          <w:tcPr>
            <w:tcW w:type="dxa" w:w="2535"/>
            <w:vAlign w:val="top"/>
          </w:tcPr>
          <w:p>
            <w:pPr>
              <w:spacing w:after="0"/>
            </w:pPr>
            <w:r/>
            <w:r>
              <w:rPr>
                <w:rFonts w:ascii="Times New Roman" w:hAnsi="Times New Roman" w:eastAsia="Times New Roman"/>
                <w:b w:val="0"/>
                <w:sz w:val="16"/>
              </w:rPr>
              <w:t>Xác định cơ chế thương lượng trước, sau đó khởi kiện tại Tòa án có thẩm quyền.</w:t>
            </w:r>
          </w:p>
        </w:tc>
      </w:tr>
    </w:tbl>
    <w:p>
      <w:pPr>
        <w:spacing w:before="160" w:after="80"/>
      </w:pPr>
      <w:r>
        <w:rPr>
          <w:rFonts w:ascii="Times New Roman" w:hAnsi="Times New Roman" w:eastAsia="Times New Roman"/>
          <w:b/>
          <w:sz w:val="22"/>
        </w:rPr>
        <w:t>PHỤ LỤC 07 - CHECKLIST TRƯỚC KHI KÝ</w:t>
      </w:r>
    </w:p>
    <w:p>
      <w:pPr>
        <w:pStyle w:val="ListBullet"/>
        <w:spacing w:after="20"/>
      </w:pPr>
      <w:r>
        <w:rPr>
          <w:rFonts w:ascii="Times New Roman" w:hAnsi="Times New Roman" w:eastAsia="Times New Roman"/>
          <w:sz w:val="18"/>
        </w:rPr>
        <w:t>Điền đầy đủ: số hợp đồng, ngày ký, địa điểm ký, đại diện, chức vụ, giá trị, VAT, tiến độ thanh toán, ngày hiệu lực.</w:t>
      </w:r>
    </w:p>
    <w:p>
      <w:pPr>
        <w:pStyle w:val="ListBullet"/>
        <w:spacing w:after="20"/>
      </w:pPr>
      <w:r>
        <w:rPr>
          <w:rFonts w:ascii="Times New Roman" w:hAnsi="Times New Roman" w:eastAsia="Times New Roman"/>
          <w:sz w:val="18"/>
        </w:rPr>
        <w:t>Kiểm tra điều kiện bảo hành: 12 tháng hoặc thời hạn khác theo phụ lục; thiết bị theo chính sách nhà sản xuất.</w:t>
      </w:r>
    </w:p>
    <w:p>
      <w:pPr>
        <w:pStyle w:val="ListBullet"/>
        <w:spacing w:after="20"/>
      </w:pPr>
      <w:r>
        <w:rPr>
          <w:rFonts w:ascii="Times New Roman" w:hAnsi="Times New Roman" w:eastAsia="Times New Roman"/>
          <w:sz w:val="18"/>
        </w:rPr>
        <w:t>Kiểm tra phụ lục: bảng khối lượng/vật tư/đơn giá, tiến độ thi công, tiến độ thanh toán, bản vẽ/thuyết minh kỹ thuật.</w:t>
      </w:r>
    </w:p>
    <w:p>
      <w:pPr>
        <w:pStyle w:val="ListBullet"/>
        <w:spacing w:after="20"/>
      </w:pPr>
      <w:r>
        <w:rPr>
          <w:rFonts w:ascii="Times New Roman" w:hAnsi="Times New Roman" w:eastAsia="Times New Roman"/>
          <w:sz w:val="18"/>
        </w:rPr>
        <w:t>Kiểm tra điều khoản phạt vi phạm/lãi chậm trả có phù hợp loại giao dịch, đối tượng khách hàng và giới hạn pháp luật tại thời điểm ký.</w:t>
      </w:r>
    </w:p>
    <w:p>
      <w:pPr>
        <w:pStyle w:val="ListBullet"/>
        <w:spacing w:after="20"/>
      </w:pPr>
      <w:r>
        <w:rPr>
          <w:rFonts w:ascii="Times New Roman" w:hAnsi="Times New Roman" w:eastAsia="Times New Roman"/>
          <w:sz w:val="18"/>
        </w:rPr>
        <w:t>Nếu công trình sử dụng vốn nhà nước, khách nước ngoài, giá trị lớn hoặc có điều khoản phạt/bồi thường đặc biệt, cần rà soát pháp lý riêng trước khi ký.</w:t>
      </w:r>
    </w:p>
    <w:p>
      <w:pPr>
        <w:spacing w:before="120"/>
      </w:pPr>
      <w:r>
        <w:rPr>
          <w:rFonts w:ascii="Times New Roman" w:hAnsi="Times New Roman" w:eastAsia="Times New Roman"/>
          <w:i/>
          <w:color w:val="646464"/>
          <w:sz w:val="18"/>
        </w:rPr>
        <w:t>Ghi chú phiên bản: HDLD-TH-v3 đã bổ sung căn cứ pháp lý tham chiếu theo các nhóm rủi ro được LEXcentra nêu: lãi chậm trả, tạm ngừng/chấm dứt, nghiệm thu mặc nhiên, bảo hành, phạt vi phạm, bảo mật và chứng cứ điện tử.</w:t>
      </w:r>
    </w:p>
    <w:sectPr w:rsidR="00FC693F" w:rsidRPr="0006063C" w:rsidSect="00034616">
      <w:headerReference w:type="default" r:id="rId9"/>
      <w:footerReference w:type="default" r:id="rId10"/>
      <w:pgSz w:w="12240" w:h="15840"/>
      <w:pgMar w:top="850" w:right="907"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6"/>
      </w:rPr>
      <w:t xml:space="preserve">Trang </w:t>
      <w:fldChar w:fldCharType="begin"/>
      <w:instrText xml:space="preserve"> PAGE </w:instrText>
      <w:fldChar w:fldCharType="end"/>
    </w:r>
    <w:r>
      <w:rPr>
        <w:rFonts w:ascii="Times New Roman" w:hAnsi="Times New Roman" w:eastAsia="Times New Roman"/>
        <w:color w:val="646464"/>
        <w:sz w:val="16"/>
      </w:rPr>
      <w:t xml:space="preserve"> | THANH HOÀI Contract Template v3.0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olor w:val="646464"/>
        <w:sz w:val="16"/>
      </w:rPr>
      <w:t>THANH HOÀI ERP - BỘ MẪU HỢP ĐỒNG | HĐ THI CÔNG, LẮP ĐẶT | Mã mẫu: HDLD-TH-v3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