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tcBorders>
              <w:top w:val="single" w:sz="10" w:color="17365D"/>
              <w:left w:val="single" w:sz="10" w:color="17365D"/>
              <w:bottom w:val="single" w:sz="10" w:color="17365D"/>
              <w:right w:val="single" w:sz="10" w:color="17365D"/>
            </w:tcBorders>
          </w:tcPr>
          <w:p>
            <w:r>
              <w:rPr>
                <w:rFonts w:ascii="Arial" w:hAnsi="Arial"/>
                <w:b/>
                <w:i w:val="0"/>
                <w:color w:val="17365D"/>
                <w:sz w:val="22"/>
              </w:rPr>
              <w:t>CÔNG TY TNHH MTV CƠ ĐIỆN LẠNH THANH HOÀI</w:t>
            </w:r>
            <w:r>
              <w:br/>
            </w:r>
            <w:r>
              <w:rPr>
                <w:rFonts w:ascii="Arial" w:hAnsi="Arial"/>
                <w:b/>
                <w:i w:val="0"/>
                <w:color w:val="1F4E78"/>
                <w:sz w:val="18"/>
              </w:rPr>
              <w:t>THANH_HOAI_ERP / APP 8777</w:t>
            </w:r>
          </w:p>
        </w:tc>
        <w:tc>
          <w:tcPr>
            <w:tcW w:type="dxa" w:w="5213"/>
            <w:tcBorders>
              <w:top w:val="single" w:sz="10" w:color="17365D"/>
              <w:left w:val="single" w:sz="10" w:color="17365D"/>
              <w:bottom w:val="single" w:sz="10" w:color="17365D"/>
              <w:right w:val="single" w:sz="10" w:color="17365D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Mã: TH-ERP-HSCT-V3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Ngày bàn giao: 2026-07-13</w:t>
            </w:r>
          </w:p>
        </w:tc>
      </w:tr>
    </w:tbl>
    <w:p>
      <w:pPr>
        <w:spacing w:before="200" w:after="160"/>
        <w:jc w:val="center"/>
      </w:pPr>
      <w:r>
        <w:rPr>
          <w:rFonts w:ascii="Arial" w:hAnsi="Arial"/>
          <w:b/>
          <w:i w:val="0"/>
          <w:color w:val="17365D"/>
          <w:sz w:val="30"/>
        </w:rPr>
        <w:t>BIÊN BẢN BÀN GIAO BỘ HỒ SƠ CÔNG TRÌNH HOÀN CHỈNH V3</w:t>
      </w:r>
    </w:p>
    <w:p>
      <w:r>
        <w:rPr>
          <w:rFonts w:ascii="Arial" w:hAnsi="Arial"/>
          <w:b/>
          <w:i w:val="0"/>
          <w:color w:val="17365D"/>
          <w:sz w:val="22"/>
        </w:rPr>
        <w:t>1. Phạm vi bàn giao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Bàn giao package chuẩn phục vụ toàn bộ vòng đời công trình: Khách hàng → Khảo sát → Báo giá → Hợp đồng → Thiết kế → Vật tư → Thi công → Nghiệm thu → Hoàn công → Thanh quyết toán → Bảo hành → Đóng hồ sơ.</w:t>
      </w:r>
    </w:p>
    <w:p>
      <w:r>
        <w:rPr>
          <w:rFonts w:ascii="Arial" w:hAnsi="Arial"/>
          <w:b/>
          <w:i w:val="0"/>
          <w:color w:val="17365D"/>
          <w:sz w:val="22"/>
        </w:rPr>
        <w:t>2. Cấu trúc package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AF7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>Nhóm</w:t>
            </w:r>
          </w:p>
        </w:tc>
        <w:tc>
          <w:tcPr>
            <w:tcW w:type="dxa" w:w="3475"/>
            <w:shd w:fill="D9EAF7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>Nội dung</w:t>
            </w:r>
          </w:p>
        </w:tc>
        <w:tc>
          <w:tcPr>
            <w:tcW w:type="dxa" w:w="3475"/>
            <w:shd w:fill="D9EAF7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>Trạng thái</w:t>
            </w:r>
          </w:p>
        </w:tc>
      </w:tr>
      <w:tr>
        <w:tc>
          <w:tcPr>
            <w:tcW w:type="dxa" w:w="3475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>00-09</w:t>
            </w:r>
          </w:p>
        </w:tc>
        <w:tc>
          <w:tcPr>
            <w:tcW w:type="dxa" w:w="3475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Bộ chứng từ nghiệp vụ theo vòng đời công trình</w:t>
            </w:r>
          </w:p>
        </w:tc>
        <w:tc>
          <w:tcPr>
            <w:tcW w:type="dxa" w:w="3475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ĐÃ HOÀN THIỆN</w:t>
            </w:r>
          </w:p>
        </w:tc>
      </w:tr>
      <w:tr>
        <w:tc>
          <w:tcPr>
            <w:tcW w:type="dxa" w:w="3475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>90_ERP_INTEGRATION</w:t>
            </w:r>
          </w:p>
        </w:tc>
        <w:tc>
          <w:tcPr>
            <w:tcW w:type="dxa" w:w="3475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Registry, mapping, workflow, role, filename và luật dòng động</w:t>
            </w:r>
          </w:p>
        </w:tc>
        <w:tc>
          <w:tcPr>
            <w:tcW w:type="dxa" w:w="3475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SẴN SÀNG TÍCH HỢP</w:t>
            </w:r>
          </w:p>
        </w:tc>
      </w:tr>
      <w:tr>
        <w:tc>
          <w:tcPr>
            <w:tcW w:type="dxa" w:w="3475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>95_QA_AND_TESTS</w:t>
            </w:r>
          </w:p>
        </w:tc>
        <w:tc>
          <w:tcPr>
            <w:tcW w:type="dxa" w:w="3475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Báo cáo render, kiểm tra mapping, công thức và tính toàn vẹn</w:t>
            </w:r>
          </w:p>
        </w:tc>
        <w:tc>
          <w:tcPr>
            <w:tcW w:type="dxa" w:w="3475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ĐÃ KIỂM TRA</w:t>
            </w:r>
          </w:p>
        </w:tc>
      </w:tr>
      <w:tr>
        <w:tc>
          <w:tcPr>
            <w:tcW w:type="dxa" w:w="3475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>99_MẪU GỐC</w:t>
            </w:r>
          </w:p>
        </w:tc>
        <w:tc>
          <w:tcPr>
            <w:tcW w:type="dxa" w:w="3475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Mẫu nguồn người dùng cung cấp, giữ nguyên để đối chiếu</w:t>
            </w:r>
          </w:p>
        </w:tc>
        <w:tc>
          <w:tcPr>
            <w:tcW w:type="dxa" w:w="3475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ĐƯỢC BẢO TOÀN</w:t>
            </w:r>
          </w:p>
        </w:tc>
      </w:tr>
    </w:tbl>
    <w:p>
      <w:r>
        <w:rPr>
          <w:rFonts w:ascii="Arial" w:hAnsi="Arial"/>
          <w:b/>
          <w:i w:val="0"/>
          <w:color w:val="17365D"/>
          <w:sz w:val="22"/>
        </w:rPr>
        <w:t>3. Thống kê bàn giao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shd w:fill="EEF5FA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Tổng file</w:t>
            </w:r>
          </w:p>
        </w:tc>
        <w:tc>
          <w:tcPr>
            <w:tcW w:type="dxa" w:w="1738"/>
            <w:shd w:fill="EEF5FA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DOCX</w:t>
            </w:r>
          </w:p>
        </w:tc>
        <w:tc>
          <w:tcPr>
            <w:tcW w:type="dxa" w:w="1738"/>
            <w:shd w:fill="EEF5FA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XLSX</w:t>
            </w:r>
          </w:p>
        </w:tc>
        <w:tc>
          <w:tcPr>
            <w:tcW w:type="dxa" w:w="1738"/>
            <w:shd w:fill="EEF5FA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CSV</w:t>
            </w:r>
          </w:p>
        </w:tc>
        <w:tc>
          <w:tcPr>
            <w:tcW w:type="dxa" w:w="1738"/>
            <w:shd w:fill="EEF5FA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JSON</w:t>
            </w:r>
          </w:p>
        </w:tc>
        <w:tc>
          <w:tcPr>
            <w:tcW w:type="dxa" w:w="1738"/>
            <w:shd w:fill="EEF5FA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Khác</w:t>
            </w:r>
          </w:p>
        </w:tc>
      </w:tr>
      <w:tr>
        <w:tc>
          <w:tcPr>
            <w:tcW w:type="dxa" w:w="1738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4E78"/>
                <w:sz w:val="20"/>
              </w:rPr>
              <w:t>132</w:t>
            </w:r>
          </w:p>
        </w:tc>
        <w:tc>
          <w:tcPr>
            <w:tcW w:type="dxa" w:w="1738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4E78"/>
                <w:sz w:val="20"/>
              </w:rPr>
              <w:t>70</w:t>
            </w:r>
          </w:p>
        </w:tc>
        <w:tc>
          <w:tcPr>
            <w:tcW w:type="dxa" w:w="1738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4E78"/>
                <w:sz w:val="20"/>
              </w:rPr>
              <w:t>16</w:t>
            </w:r>
          </w:p>
        </w:tc>
        <w:tc>
          <w:tcPr>
            <w:tcW w:type="dxa" w:w="1738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4E78"/>
                <w:sz w:val="20"/>
              </w:rPr>
              <w:t>14</w:t>
            </w:r>
          </w:p>
        </w:tc>
        <w:tc>
          <w:tcPr>
            <w:tcW w:type="dxa" w:w="1738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4E78"/>
                <w:sz w:val="20"/>
              </w:rPr>
              <w:t>9</w:t>
            </w:r>
          </w:p>
        </w:tc>
        <w:tc>
          <w:tcPr>
            <w:tcW w:type="dxa" w:w="1738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4E78"/>
                <w:sz w:val="20"/>
              </w:rPr>
              <w:t>23</w:t>
            </w:r>
          </w:p>
        </w:tc>
      </w:tr>
    </w:tbl>
    <w:p>
      <w:r>
        <w:rPr>
          <w:rFonts w:ascii="Arial" w:hAnsi="Arial"/>
          <w:b/>
          <w:i w:val="0"/>
          <w:color w:val="17365D"/>
          <w:sz w:val="22"/>
        </w:rPr>
        <w:t>4. Hạng mục đã khóa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11 mẫu báo giá Excel riêng, mỗi file một sheet BAO_GIA và hỗ trợ số dòng hàng động.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Bổ sung hồ sơ bảo lãnh, năng lực, CAD/XREF, catalogue, CO/CQ, giao nhận vật tư, RFQ/PO, báo cáo tiến độ, O&amp;M, công nợ, hóa đơn-sao kê và bảo hành.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Hóa đơn đầu vào không tự tăng tồn; Thủ kho xác nhận thực nhận trước khi nhập kho.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Sao kê chỉ tạo ứng viên đối chiếu; Kế toán xác nhận mới ghi nhận thanh toán.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Mọi hồ sơ phát hành có revision, trạng thái, owner/reviewer/approver và audit.</w:t>
      </w:r>
    </w:p>
    <w:p>
      <w:r>
        <w:rPr>
          <w:rFonts w:ascii="Arial" w:hAnsi="Arial"/>
          <w:b/>
          <w:i w:val="0"/>
          <w:color w:val="17365D"/>
          <w:sz w:val="22"/>
        </w:rPr>
        <w:t>5. Điều kiện nghiệm thu package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Tất cả đường dẫn trong registry phải tồn tại.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DOCX mới phải render không vỡ bảng, không mất chữ.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XLSX không có lỗi công thức và báo giá chỉ có một sheet khách hàng.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Manifest và SHA256 phải khớp file bàn giao.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20"/>
              </w:rPr>
              <w:t>BÊN BÀN GIAO / KỸ THUẬT</w:t>
            </w:r>
          </w:p>
        </w:tc>
        <w:tc>
          <w:tcPr>
            <w:tcW w:type="dxa" w:w="521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20"/>
              </w:rPr>
              <w:t>ĐẠI DIỆN THANH HOÀI</w:t>
            </w:r>
          </w:p>
        </w:tc>
      </w:tr>
      <w:tr>
        <w:trPr>
          <w:trHeight w:val="794"/>
        </w:trPr>
        <w:tc>
          <w:tcPr>
            <w:tcW w:type="dxa" w:w="5213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tên)</w:t>
            </w:r>
          </w:p>
        </w:tc>
        <w:tc>
          <w:tcPr>
            <w:tcW w:type="dxa" w:w="5213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4" w:right="850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7085"/>
        <w:sz w:val="16"/>
      </w:rPr>
      <w:t>CÔNG TY TNHH MTV CƠ ĐIỆN LẠNH THANH HOÀI | THANH_HOAI_ERP_HO_SO_CONG_TRINH_HOAN_CHINH_V3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