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2"/>
        </w:rPr>
        <w:t>CỘNG HÒA XÃ HỘI CHỦ NGHĨA VIỆT NAM</w:t>
      </w:r>
    </w:p>
    <w:p>
      <w:pPr>
        <w:jc w:val="center"/>
      </w:pPr>
      <w:r>
        <w:rPr>
          <w:rFonts w:ascii="Times New Roman" w:hAnsi="Times New Roman" w:eastAsia="Times New Roman"/>
          <w:b/>
          <w:i w:val="0"/>
          <w:sz w:val="22"/>
        </w:rPr>
        <w:t>Độc lập - Tự do - Hạnh phúc</w:t>
      </w:r>
    </w:p>
    <w:p>
      <w:pPr>
        <w:jc w:val="center"/>
      </w:pPr>
      <w:r>
        <w:rPr>
          <w:rFonts w:ascii="Times New Roman" w:hAnsi="Times New Roman" w:eastAsia="Times New Roman"/>
          <w:b w:val="0"/>
          <w:i w:val="0"/>
          <w:sz w:val="22"/>
        </w:rPr>
        <w:t>---o0o---</w:t>
      </w:r>
    </w:p>
    <w:p>
      <w:pPr>
        <w:jc w:val="center"/>
      </w:pPr>
      <w:r>
        <w:rPr>
          <w:rFonts w:ascii="Times New Roman" w:hAnsi="Times New Roman" w:eastAsia="Times New Roman"/>
          <w:b/>
          <w:i w:val="0"/>
          <w:sz w:val="32"/>
        </w:rPr>
        <w:t>HỢP ĐỒNG NGUYÊN TẮC</w:t>
      </w:r>
    </w:p>
    <w:p>
      <w:pPr>
        <w:jc w:val="center"/>
      </w:pPr>
      <w:r>
        <w:rPr>
          <w:rFonts w:ascii="Times New Roman" w:hAnsi="Times New Roman" w:eastAsia="Times New Roman"/>
          <w:b/>
          <w:i w:val="0"/>
          <w:sz w:val="22"/>
        </w:rPr>
        <w:t>Số: {{so_hop_dong}}/HĐNT/TH</w:t>
      </w:r>
    </w:p>
    <w:p>
      <w:r>
        <w:rPr>
          <w:rFonts w:ascii="Times New Roman" w:hAnsi="Times New Roman" w:eastAsia="Times New Roman"/>
          <w:b w:val="0"/>
          <w:i/>
          <w:sz w:val="22"/>
        </w:rPr>
        <w:t>Hôm nay, ngày {{ngay}} tháng {{thang}} năm {{nam}}, tại {{dia_diem_ky}}, chúng tôi gồm:</w:t>
      </w:r>
    </w:p>
    <w:tbl>
      <w:tblPr>
        <w:tblStyle w:val="TableGrid"/>
        <w:tblW w:type="auto" w:w="0"/>
        <w:jc w:val="center"/>
        <w:tblLook w:firstColumn="1" w:firstRow="1" w:lastColumn="0" w:lastRow="0" w:noHBand="0" w:noVBand="1" w:val="04A0"/>
      </w:tblPr>
      <w:tblGrid>
        <w:gridCol w:w="5071"/>
        <w:gridCol w:w="5071"/>
      </w:tblGrid>
      <w:tr>
        <w:tc>
          <w:tcPr>
            <w:tcW w:type="dxa" w:w="5071"/>
            <w:vAlign w:val="center"/>
            <w:shd w:fill="D9EAF7"/>
          </w:tcPr>
          <w:p>
            <w:pPr>
              <w:jc w:val="center"/>
            </w:pPr>
            <w:r/>
            <w:r>
              <w:rPr>
                <w:rFonts w:ascii="Times New Roman" w:hAnsi="Times New Roman" w:eastAsia="Times New Roman"/>
                <w:b/>
                <w:sz w:val="22"/>
              </w:rPr>
              <w:t>BÊN A - KHÁCH HÀNG / ĐỐI TÁC</w:t>
            </w:r>
          </w:p>
        </w:tc>
        <w:tc>
          <w:tcPr>
            <w:tcW w:type="dxa" w:w="5071"/>
            <w:vAlign w:val="center"/>
            <w:shd w:fill="D9EAF7"/>
          </w:tcPr>
          <w:p>
            <w:pPr>
              <w:jc w:val="center"/>
            </w:pPr>
            <w:r/>
            <w:r>
              <w:rPr>
                <w:rFonts w:ascii="Times New Roman" w:hAnsi="Times New Roman" w:eastAsia="Times New Roman"/>
                <w:b/>
                <w:sz w:val="22"/>
              </w:rPr>
              <w:t>BÊN B - THANH HOÀI</w:t>
            </w:r>
          </w:p>
        </w:tc>
      </w:tr>
      <w:tr>
        <w:tc>
          <w:tcPr>
            <w:tcW w:type="dxa" w:w="5071"/>
            <w:vAlign w:val="center"/>
          </w:tcPr>
          <w:p>
            <w:r/>
            <w:r>
              <w:rPr>
                <w:rFonts w:ascii="Times New Roman" w:hAnsi="Times New Roman" w:eastAsia="Times New Roman"/>
                <w:b w:val="0"/>
                <w:sz w:val="22"/>
              </w:rPr>
              <w:t>Tên đơn vị: {{ben_a_ten}}</w:t>
              <w:br/>
              <w:t>Địa chỉ: {{ben_a_dia_chi}}</w:t>
              <w:br/>
              <w:t>Mã số thuế: {{ben_a_mst}}</w:t>
              <w:br/>
              <w:t>Điện thoại: {{ben_a_dien_thoai}}</w:t>
              <w:br/>
              <w:t>Email: {{ben_a_email}}</w:t>
              <w:br/>
              <w:t>Đại diện: {{ben_a_dai_dien}}</w:t>
              <w:br/>
              <w:t>Chức vụ: {{ben_a_chuc_vu}}</w:t>
              <w:br/>
              <w:t>Tài khoản: {{ben_a_tai_khoan}}</w:t>
              <w:br/>
              <w:t>Ngân hàng: {{ben_a_ngan_hang}}</w:t>
            </w:r>
          </w:p>
        </w:tc>
        <w:tc>
          <w:tcPr>
            <w:tcW w:type="dxa" w:w="5071"/>
            <w:vAlign w:val="center"/>
          </w:tcPr>
          <w:p>
            <w:r/>
            <w:r>
              <w:rPr>
                <w:rFonts w:ascii="Times New Roman" w:hAnsi="Times New Roman" w:eastAsia="Times New Roman"/>
                <w:b w:val="0"/>
                <w:sz w:val="22"/>
              </w:rPr>
              <w:t>Tên đơn vị: CÔNG TY TNHH MTV CƠ ĐIỆN LẠNH THANH HOÀI</w:t>
              <w:br/>
              <w:t>Địa chỉ: 448/3, Tổ 16, KP 2, Phường Long Hưng, TP Đồng Nai, Việt Nam</w:t>
              <w:br/>
              <w:t>Mã số thuế: 3602504881</w:t>
              <w:br/>
              <w:t>Điện thoại: 02513 835 395</w:t>
              <w:br/>
              <w:t>Email: {{ben_b_email}}</w:t>
              <w:br/>
              <w:t>Đại diện: PHAN TRẦN ANH QUÂN</w:t>
              <w:br/>
              <w:t>Chức vụ: Giám đốc</w:t>
              <w:br/>
              <w:t>Tài khoản: 136822159</w:t>
              <w:br/>
              <w:t>Ngân hàng: Ngân hàng ACB - Chi nhánh/PGD Long Bình Tân, Đồng Nai</w:t>
            </w:r>
          </w:p>
        </w:tc>
      </w:tr>
    </w:tbl>
    <w:p>
      <w:r>
        <w:rPr>
          <w:rFonts w:ascii="Times New Roman" w:hAnsi="Times New Roman" w:eastAsia="Times New Roman"/>
          <w:b w:val="0"/>
          <w:i w:val="0"/>
          <w:sz w:val="22"/>
        </w:rPr>
        <w:t>Sau khi bàn bạc trên tinh thần thiện chí, trung thực và cùng có lợi, hai bên thống nhất ký kết hợp đồng với các điều khoản sau:</w:t>
      </w:r>
    </w:p>
    <w:p>
      <w:pPr>
        <w:keepNext/>
        <w:spacing w:before="100"/>
      </w:pPr>
      <w:r>
        <w:rPr>
          <w:rFonts w:ascii="Times New Roman" w:hAnsi="Times New Roman" w:eastAsia="Times New Roman"/>
          <w:b/>
          <w:i w:val="0"/>
          <w:sz w:val="22"/>
        </w:rPr>
        <w:t>Điều 1. Căn cứ ký kết</w:t>
      </w:r>
    </w:p>
    <w:p>
      <w:r>
        <w:rPr>
          <w:rFonts w:ascii="Times New Roman" w:hAnsi="Times New Roman" w:eastAsia="Times New Roman"/>
          <w:b w:val="0"/>
          <w:i w:val="0"/>
          <w:sz w:val="22"/>
        </w:rPr>
        <w:t>Hợp đồng này được ký kết trên cơ sở Bộ luật Dân sự hiện hành, Luật Thương mại hiện hành, các quy định pháp luật liên quan đến mua bán hàng hóa, cung cấp dịch vụ, thi công, lắp đặt, bảo trì, bảo dưỡng và nhu cầu, khả năng của hai bên.</w:t>
      </w:r>
    </w:p>
    <w:p>
      <w:pPr>
        <w:keepNext/>
        <w:spacing w:before="100"/>
      </w:pPr>
      <w:r>
        <w:rPr>
          <w:rFonts w:ascii="Times New Roman" w:hAnsi="Times New Roman" w:eastAsia="Times New Roman"/>
          <w:b/>
          <w:i w:val="0"/>
          <w:sz w:val="22"/>
        </w:rPr>
        <w:t>Điều 2. Mục đích và phạm vi áp dụng</w:t>
      </w:r>
    </w:p>
    <w:p>
      <w:r>
        <w:rPr>
          <w:rFonts w:ascii="Times New Roman" w:hAnsi="Times New Roman" w:eastAsia="Times New Roman"/>
          <w:b w:val="0"/>
          <w:i w:val="0"/>
          <w:sz w:val="22"/>
        </w:rPr>
        <w:t>1. Hợp đồng này là căn cứ pháp lý chung để hai bên thiết lập và thực hiện các giao dịch trong tương lai liên quan đến mua bán hàng hóa, thiết bị, vật tư; thi công, lắp đặt hệ thống cơ điện lạnh; bảo trì, bảo dưỡng, sửa chữa và các dịch vụ kỹ thuật khác.</w:t>
      </w:r>
    </w:p>
    <w:p>
      <w:r>
        <w:rPr>
          <w:rFonts w:ascii="Times New Roman" w:hAnsi="Times New Roman" w:eastAsia="Times New Roman"/>
          <w:b w:val="0"/>
          <w:i w:val="0"/>
          <w:sz w:val="22"/>
        </w:rPr>
        <w:t>2. Hợp đồng nguyên tắc không bắt buộc phát sinh giao dịch cụ thể. Từng giao dịch chỉ có hiệu lực khi được xác lập bằng báo giá, đơn đặt hàng, phụ lục, email xác nhận, biên bản nghiệm thu, hóa đơn, biên bản bàn giao hoặc văn bản hợp lệ khác.</w:t>
      </w:r>
    </w:p>
    <w:p>
      <w:r>
        <w:rPr>
          <w:rFonts w:ascii="Times New Roman" w:hAnsi="Times New Roman" w:eastAsia="Times New Roman"/>
          <w:b w:val="0"/>
          <w:i w:val="0"/>
          <w:sz w:val="22"/>
        </w:rPr>
        <w:t>3. Trường hợp có khác biệt giữa hợp đồng nguyên tắc và tài liệu giao dịch cụ thể, tài liệu giao dịch cụ thể được ưu tiên áp dụng cho phạm vi giao dịch đó nếu không trái pháp luật.</w:t>
      </w:r>
    </w:p>
    <w:p>
      <w:pPr>
        <w:keepNext/>
        <w:spacing w:before="100"/>
      </w:pPr>
      <w:r>
        <w:rPr>
          <w:rFonts w:ascii="Times New Roman" w:hAnsi="Times New Roman" w:eastAsia="Times New Roman"/>
          <w:b/>
          <w:i w:val="0"/>
          <w:sz w:val="22"/>
        </w:rPr>
        <w:t>Điều 3. Nguyên tắc hợp tác và xác nhận giao dịch</w:t>
      </w:r>
    </w:p>
    <w:p>
      <w:r>
        <w:rPr>
          <w:rFonts w:ascii="Times New Roman" w:hAnsi="Times New Roman" w:eastAsia="Times New Roman"/>
          <w:b w:val="0"/>
          <w:i w:val="0"/>
          <w:sz w:val="22"/>
        </w:rPr>
        <w:t>1. Hai bên hợp tác trên nguyên tắc thiện chí, trung thực, bình đẳng, bảo mật và cùng có lợi.</w:t>
      </w:r>
    </w:p>
    <w:p>
      <w:r>
        <w:rPr>
          <w:rFonts w:ascii="Times New Roman" w:hAnsi="Times New Roman" w:eastAsia="Times New Roman"/>
          <w:b w:val="0"/>
          <w:i w:val="0"/>
          <w:sz w:val="22"/>
        </w:rPr>
        <w:t>2. Yêu cầu, xác nhận, điều chỉnh, phát sinh ngoài phạm vi ban đầu cần được thể hiện bằng văn bản, email hoặc hình thức điện tử có thể truy xuất.</w:t>
      </w:r>
    </w:p>
    <w:p>
      <w:r>
        <w:rPr>
          <w:rFonts w:ascii="Times New Roman" w:hAnsi="Times New Roman" w:eastAsia="Times New Roman"/>
          <w:b w:val="0"/>
          <w:i w:val="0"/>
          <w:sz w:val="22"/>
        </w:rPr>
        <w:t>3. Bên B có quyền yêu cầu Bên A xác nhận lại bằng văn bản trước khi triển khai nếu yêu cầu có tính khẩn cấp, phát sinh chi phí hoặc ảnh hưởng an toàn kỹ thuật.</w:t>
      </w:r>
    </w:p>
    <w:p>
      <w:pPr>
        <w:keepNext/>
        <w:spacing w:before="100"/>
      </w:pPr>
      <w:r>
        <w:rPr>
          <w:rFonts w:ascii="Times New Roman" w:hAnsi="Times New Roman" w:eastAsia="Times New Roman"/>
          <w:b/>
          <w:i w:val="0"/>
          <w:sz w:val="22"/>
        </w:rPr>
        <w:t>Điều 4. Đặt hàng, báo giá và điều chỉnh giá</w:t>
      </w:r>
    </w:p>
    <w:p>
      <w:r>
        <w:rPr>
          <w:rFonts w:ascii="Times New Roman" w:hAnsi="Times New Roman" w:eastAsia="Times New Roman"/>
          <w:b w:val="0"/>
          <w:i w:val="0"/>
          <w:sz w:val="22"/>
        </w:rPr>
        <w:t>1. Bên A gửi yêu cầu bằng văn bản, email, tin nhắn hoặc hệ thống quản lý đơn hàng. Bên B phản hồi báo giá, tiến độ, điều kiện kỹ thuật, điều kiện thanh toán và thời gian thực hiện.</w:t>
      </w:r>
    </w:p>
    <w:p>
      <w:r>
        <w:rPr>
          <w:rFonts w:ascii="Times New Roman" w:hAnsi="Times New Roman" w:eastAsia="Times New Roman"/>
          <w:b w:val="0"/>
          <w:i w:val="0"/>
          <w:sz w:val="22"/>
        </w:rPr>
        <w:t>2. Giá được xác định theo từng báo giá hoặc phụ lục và có thể đã bao gồm hoặc chưa bao gồm VAT tùy nội dung thể hiện.</w:t>
      </w:r>
    </w:p>
    <w:p>
      <w:r>
        <w:rPr>
          <w:rFonts w:ascii="Times New Roman" w:hAnsi="Times New Roman" w:eastAsia="Times New Roman"/>
          <w:b w:val="0"/>
          <w:i w:val="0"/>
          <w:sz w:val="22"/>
        </w:rPr>
        <w:t>3. Khi có biến động vật tư, vận chuyển, nhân công, chính sách thuế, tỷ giá hoặc yếu tố khách quan làm ảnh hưởng giá thành, Bên B có quyền đề xuất điều chỉnh giá. Điều chỉnh chỉ có hiệu lực khi Bên A chấp thuận bằng văn bản.</w:t>
      </w:r>
    </w:p>
    <w:p>
      <w:pPr>
        <w:keepNext/>
        <w:spacing w:before="100"/>
      </w:pPr>
      <w:r>
        <w:rPr>
          <w:rFonts w:ascii="Times New Roman" w:hAnsi="Times New Roman" w:eastAsia="Times New Roman"/>
          <w:b/>
          <w:i w:val="0"/>
          <w:sz w:val="22"/>
        </w:rPr>
        <w:t>Điều 5. Thanh toán và hồ sơ thanh toán</w:t>
      </w:r>
    </w:p>
    <w:p>
      <w:r>
        <w:rPr>
          <w:rFonts w:ascii="Times New Roman" w:hAnsi="Times New Roman" w:eastAsia="Times New Roman"/>
          <w:b w:val="0"/>
          <w:i w:val="0"/>
          <w:sz w:val="22"/>
        </w:rPr>
        <w:t>1. Phương thức thanh toán là chuyển khoản hoặc hình thức khác do hai bên thỏa thuận. Tỷ lệ thanh toán cho từng giao dịch được ghi tại báo giá, đơn đặt hàng, phụ lục hoặc hợp đồng con.</w:t>
      </w:r>
    </w:p>
    <w:p>
      <w:r>
        <w:rPr>
          <w:rFonts w:ascii="Times New Roman" w:hAnsi="Times New Roman" w:eastAsia="Times New Roman"/>
          <w:b w:val="0"/>
          <w:i w:val="0"/>
          <w:sz w:val="22"/>
        </w:rPr>
        <w:t>2. Hồ sơ thanh toán hợp lệ có thể gồm biên bản giao nhận, biên bản nghiệm thu, hóa đơn, phiếu xuất kho, bảng xác nhận khối lượng, tài liệu kỹ thuật và các giấy tờ khác theo thỏa thuận.</w:t>
      </w:r>
    </w:p>
    <w:p>
      <w:r>
        <w:rPr>
          <w:rFonts w:ascii="Times New Roman" w:hAnsi="Times New Roman" w:eastAsia="Times New Roman"/>
          <w:b w:val="0"/>
          <w:i w:val="0"/>
          <w:sz w:val="22"/>
        </w:rPr>
        <w:t>3. Nếu Bên A chậm thanh toán, Bên B có quyền tạm ngừng giao hàng/cung cấp dịch vụ/thi công, yêu cầu thanh toán lãi/phí chậm trả và chi phí phát sinh hợp lý trong phạm vi pháp luật cho phép.</w:t>
      </w:r>
    </w:p>
    <w:p>
      <w:pPr>
        <w:keepNext/>
        <w:spacing w:before="100"/>
      </w:pPr>
      <w:r>
        <w:rPr>
          <w:rFonts w:ascii="Times New Roman" w:hAnsi="Times New Roman" w:eastAsia="Times New Roman"/>
          <w:b/>
          <w:i w:val="0"/>
          <w:sz w:val="22"/>
        </w:rPr>
        <w:t>Điều 6. Giao nhận, nghiệm thu và nghiệm thu mặc nhiên</w:t>
      </w:r>
    </w:p>
    <w:p>
      <w:r>
        <w:rPr>
          <w:rFonts w:ascii="Times New Roman" w:hAnsi="Times New Roman" w:eastAsia="Times New Roman"/>
          <w:b w:val="0"/>
          <w:i w:val="0"/>
          <w:sz w:val="22"/>
        </w:rPr>
        <w:t>1. Việc giao nhận, nghiệm thu được thực hiện tại địa điểm và thời điểm do hai bên thỏa thuận.</w:t>
      </w:r>
    </w:p>
    <w:p>
      <w:r>
        <w:rPr>
          <w:rFonts w:ascii="Times New Roman" w:hAnsi="Times New Roman" w:eastAsia="Times New Roman"/>
          <w:b w:val="0"/>
          <w:i w:val="0"/>
          <w:sz w:val="22"/>
        </w:rPr>
        <w:t>2. Nếu Bên A đã nhận hàng, sử dụng hàng hóa/dịch vụ hoặc không có phản đối bằng văn bản trong thời hạn {{so_ngay_nghiem_thu_mac_nhien}} ngày kể từ khi nhận thông báo nghiệm thu/bàn giao, kết quả thực hiện được xem là đã được chấp nhận, trừ lỗi ẩn hoặc lỗi kỹ thuật thuộc trách nhiệm của Bên B được chứng minh hợp lệ.</w:t>
      </w:r>
    </w:p>
    <w:p>
      <w:r>
        <w:rPr>
          <w:rFonts w:ascii="Times New Roman" w:hAnsi="Times New Roman" w:eastAsia="Times New Roman"/>
          <w:b w:val="0"/>
          <w:i w:val="0"/>
          <w:sz w:val="22"/>
        </w:rPr>
        <w:t>3. Trường hợp phát hiện lỗi/hỏng hóc, Bên A phải thông báo kịp thời và cung cấp chứng cứ phù hợp để hai bên phối hợp xử lý.</w:t>
      </w:r>
    </w:p>
    <w:p>
      <w:pPr>
        <w:keepNext/>
        <w:spacing w:before="100"/>
      </w:pPr>
      <w:r>
        <w:rPr>
          <w:rFonts w:ascii="Times New Roman" w:hAnsi="Times New Roman" w:eastAsia="Times New Roman"/>
          <w:b/>
          <w:i w:val="0"/>
          <w:sz w:val="22"/>
        </w:rPr>
        <w:t>Điều 7. Bảo hành, bảo trì và loại trừ trách nhiệm</w:t>
      </w:r>
    </w:p>
    <w:p>
      <w:r>
        <w:rPr>
          <w:rFonts w:ascii="Times New Roman" w:hAnsi="Times New Roman" w:eastAsia="Times New Roman"/>
          <w:b w:val="0"/>
          <w:i w:val="0"/>
          <w:sz w:val="22"/>
        </w:rPr>
        <w:t>1. Thời hạn, phạm vi bảo hành/bảo trì được quy định riêng theo từng hạng mục, báo giá, phụ lục hoặc phiếu bảo hành.</w:t>
      </w:r>
    </w:p>
    <w:p>
      <w:r>
        <w:rPr>
          <w:rFonts w:ascii="Times New Roman" w:hAnsi="Times New Roman" w:eastAsia="Times New Roman"/>
          <w:b w:val="0"/>
          <w:i w:val="0"/>
          <w:sz w:val="22"/>
        </w:rPr>
        <w:t>2. Bên B không chịu trách nhiệm bảo hành đối với hư hỏng do sử dụng sai hướng dẫn, tự ý tháo lắp/sửa chữa, vận hành vượt thông số, thiên tai, hỏa hoạn, sự cố nguồn điện, ngập nước, côn trùng, tác động bên thứ ba hoặc hao mòn tự nhiên.</w:t>
      </w:r>
    </w:p>
    <w:p>
      <w:r>
        <w:rPr>
          <w:rFonts w:ascii="Times New Roman" w:hAnsi="Times New Roman" w:eastAsia="Times New Roman"/>
          <w:b w:val="0"/>
          <w:i w:val="0"/>
          <w:sz w:val="22"/>
        </w:rPr>
        <w:t>3. Vật tư, linh kiện, nhân công ngoài phạm vi bảo hành sẽ được báo giá và tính riêng.</w:t>
      </w:r>
    </w:p>
    <w:p>
      <w:pPr>
        <w:keepNext/>
        <w:spacing w:before="100"/>
      </w:pPr>
      <w:r>
        <w:rPr>
          <w:rFonts w:ascii="Times New Roman" w:hAnsi="Times New Roman" w:eastAsia="Times New Roman"/>
          <w:b/>
          <w:i w:val="0"/>
          <w:sz w:val="22"/>
        </w:rPr>
        <w:t>Điều 8. Quyền và nghĩa vụ của Bên A</w:t>
      </w:r>
    </w:p>
    <w:p>
      <w:r>
        <w:rPr>
          <w:rFonts w:ascii="Times New Roman" w:hAnsi="Times New Roman" w:eastAsia="Times New Roman"/>
          <w:b w:val="0"/>
          <w:i w:val="0"/>
          <w:sz w:val="22"/>
        </w:rPr>
        <w:t>1. Cung cấp thông tin, tài liệu, mặt bằng, điều kiện thi công/giao nhận cần thiết; phối hợp nghiệm thu và xác nhận khối lượng/phát sinh.</w:t>
      </w:r>
    </w:p>
    <w:p>
      <w:r>
        <w:rPr>
          <w:rFonts w:ascii="Times New Roman" w:hAnsi="Times New Roman" w:eastAsia="Times New Roman"/>
          <w:b w:val="0"/>
          <w:i w:val="0"/>
          <w:sz w:val="22"/>
        </w:rPr>
        <w:t>2. Thanh toán đúng thời hạn, đúng thông tin tài khoản và đúng hồ sơ thanh toán hợp lệ.</w:t>
      </w:r>
    </w:p>
    <w:p>
      <w:r>
        <w:rPr>
          <w:rFonts w:ascii="Times New Roman" w:hAnsi="Times New Roman" w:eastAsia="Times New Roman"/>
          <w:b w:val="0"/>
          <w:i w:val="0"/>
          <w:sz w:val="22"/>
        </w:rPr>
        <w:t>3. Chịu trách nhiệm về tính chính xác của thông tin cung cấp và không tự ý thay đổi phương án kỹ thuật đã được Bên B chấp thuận.</w:t>
      </w:r>
    </w:p>
    <w:p>
      <w:pPr>
        <w:keepNext/>
        <w:spacing w:before="100"/>
      </w:pPr>
      <w:r>
        <w:rPr>
          <w:rFonts w:ascii="Times New Roman" w:hAnsi="Times New Roman" w:eastAsia="Times New Roman"/>
          <w:b/>
          <w:i w:val="0"/>
          <w:sz w:val="22"/>
        </w:rPr>
        <w:t>Điều 9. Quyền và nghĩa vụ của Bên B</w:t>
      </w:r>
    </w:p>
    <w:p>
      <w:r>
        <w:rPr>
          <w:rFonts w:ascii="Times New Roman" w:hAnsi="Times New Roman" w:eastAsia="Times New Roman"/>
          <w:b w:val="0"/>
          <w:i w:val="0"/>
          <w:sz w:val="22"/>
        </w:rPr>
        <w:t>1. Cung cấp hàng hóa/dịch vụ đúng chủng loại, chất lượng, tiến độ đã thỏa thuận; thực hiện quy trình kỹ thuật và an toàn trong phạm vi trách nhiệm.</w:t>
      </w:r>
    </w:p>
    <w:p>
      <w:r>
        <w:rPr>
          <w:rFonts w:ascii="Times New Roman" w:hAnsi="Times New Roman" w:eastAsia="Times New Roman"/>
          <w:b w:val="0"/>
          <w:i w:val="0"/>
          <w:sz w:val="22"/>
        </w:rPr>
        <w:t>2. Bàn giao hồ sơ, tài liệu, chứng từ liên quan trong phạm vi cam kết.</w:t>
      </w:r>
    </w:p>
    <w:p>
      <w:r>
        <w:rPr>
          <w:rFonts w:ascii="Times New Roman" w:hAnsi="Times New Roman" w:eastAsia="Times New Roman"/>
          <w:b w:val="0"/>
          <w:i w:val="0"/>
          <w:sz w:val="22"/>
        </w:rPr>
        <w:t>3. Có quyền từ chối hoặc tạm dừng thực hiện phần việc chưa có căn cứ xác nhận, vượt phạm vi thỏa thuận hoặc không đảm bảo an toàn.</w:t>
      </w:r>
    </w:p>
    <w:p>
      <w:pPr>
        <w:keepNext/>
        <w:spacing w:before="100"/>
      </w:pPr>
      <w:r>
        <w:rPr>
          <w:rFonts w:ascii="Times New Roman" w:hAnsi="Times New Roman" w:eastAsia="Times New Roman"/>
          <w:b/>
          <w:i w:val="0"/>
          <w:sz w:val="22"/>
        </w:rPr>
        <w:t>Điều 10. Phạt vi phạm, bồi thường và giới hạn trách nhiệm</w:t>
      </w:r>
    </w:p>
    <w:p>
      <w:r>
        <w:rPr>
          <w:rFonts w:ascii="Times New Roman" w:hAnsi="Times New Roman" w:eastAsia="Times New Roman"/>
          <w:b w:val="0"/>
          <w:i w:val="0"/>
          <w:sz w:val="22"/>
        </w:rPr>
        <w:t>1. Bên vi phạm nghĩa vụ phải khắc phục vi phạm và bồi thường thiệt hại thực tế, trực tiếp, hợp lý phát sinh do hành vi vi phạm gây ra.</w:t>
      </w:r>
    </w:p>
    <w:p>
      <w:r>
        <w:rPr>
          <w:rFonts w:ascii="Times New Roman" w:hAnsi="Times New Roman" w:eastAsia="Times New Roman"/>
          <w:b w:val="0"/>
          <w:i w:val="0"/>
          <w:sz w:val="22"/>
        </w:rPr>
        <w:t>2. Mức phạt vi phạm, nếu áp dụng, được xác định theo thỏa thuận cụ thể của từng giao dịch và trong giới hạn pháp luật cho phép.</w:t>
      </w:r>
    </w:p>
    <w:p>
      <w:r>
        <w:rPr>
          <w:rFonts w:ascii="Times New Roman" w:hAnsi="Times New Roman" w:eastAsia="Times New Roman"/>
          <w:b w:val="0"/>
          <w:i w:val="0"/>
          <w:sz w:val="22"/>
        </w:rPr>
        <w:t>3. Không bên nào chịu trách nhiệm đối với thiệt hại gián tiếp, mất lợi nhuận kỳ vọng hoặc thiệt hại không thể dự liệu hợp lý, trừ trường hợp pháp luật bắt buộc hoặc các bên có thỏa thuận khác.</w:t>
      </w:r>
    </w:p>
    <w:p>
      <w:pPr>
        <w:keepNext/>
        <w:spacing w:before="100"/>
      </w:pPr>
      <w:r>
        <w:rPr>
          <w:rFonts w:ascii="Times New Roman" w:hAnsi="Times New Roman" w:eastAsia="Times New Roman"/>
          <w:b/>
          <w:i w:val="0"/>
          <w:sz w:val="22"/>
        </w:rPr>
        <w:t>Điều 11. Bất khả kháng</w:t>
      </w:r>
    </w:p>
    <w:p>
      <w:r>
        <w:rPr>
          <w:rFonts w:ascii="Times New Roman" w:hAnsi="Times New Roman" w:eastAsia="Times New Roman"/>
          <w:b w:val="0"/>
          <w:i w:val="0"/>
          <w:sz w:val="22"/>
        </w:rPr>
        <w:t>1. Bất khả kháng bao gồm thiên tai, hỏa hoạn, lũ lụt, dịch bệnh, chiến tranh, bạo loạn, cấm vận, thay đổi chính sách pháp luật, sự cố khách quan ngoài khả năng kiểm soát hợp lý của các bên.</w:t>
      </w:r>
    </w:p>
    <w:p>
      <w:r>
        <w:rPr>
          <w:rFonts w:ascii="Times New Roman" w:hAnsi="Times New Roman" w:eastAsia="Times New Roman"/>
          <w:b w:val="0"/>
          <w:i w:val="0"/>
          <w:sz w:val="22"/>
        </w:rPr>
        <w:t>2. Bên gặp sự kiện bất khả kháng phải thông báo kịp thời, cung cấp căn cứ khi có thể và áp dụng biện pháp giảm thiểu thiệt hại. Hai bên sẽ thỏa thuận gia hạn, điều chỉnh hoặc chấm dứt tùy mức độ ảnh hưởng.</w:t>
      </w:r>
    </w:p>
    <w:p>
      <w:pPr>
        <w:keepNext/>
        <w:spacing w:before="100"/>
      </w:pPr>
      <w:r>
        <w:rPr>
          <w:rFonts w:ascii="Times New Roman" w:hAnsi="Times New Roman" w:eastAsia="Times New Roman"/>
          <w:b/>
          <w:i w:val="0"/>
          <w:sz w:val="22"/>
        </w:rPr>
        <w:t>Điều 12. Chính sách an toàn, hiện trường và tài sản</w:t>
      </w:r>
    </w:p>
    <w:p>
      <w:r>
        <w:rPr>
          <w:rFonts w:ascii="Times New Roman" w:hAnsi="Times New Roman" w:eastAsia="Times New Roman"/>
          <w:b w:val="0"/>
          <w:i w:val="0"/>
          <w:sz w:val="22"/>
        </w:rPr>
        <w:t>1. Đối với công việc thi công, lắp đặt, bảo trì, sửa chữa tại hiện trường, các bên phải phối hợp bảo đảm an toàn lao động, an toàn điện, phòng cháy chữa cháy, vệ sinh công nghiệp và bảo vệ tài sản tại khu vực thực hiện.</w:t>
      </w:r>
    </w:p>
    <w:p>
      <w:r>
        <w:rPr>
          <w:rFonts w:ascii="Times New Roman" w:hAnsi="Times New Roman" w:eastAsia="Times New Roman"/>
          <w:b w:val="0"/>
          <w:i w:val="0"/>
          <w:sz w:val="22"/>
        </w:rPr>
        <w:t>2. Bên A có trách nhiệm bàn giao mặt bằng, điều kiện ra vào, nguồn điện/nước và các yêu cầu nội quy công trình nếu có. Bên B có trách nhiệm tổ chức nhân sự, dụng cụ và phương án thi công phù hợp với phạm vi công việc đã thỏa thuận.</w:t>
      </w:r>
    </w:p>
    <w:p>
      <w:r>
        <w:rPr>
          <w:rFonts w:ascii="Times New Roman" w:hAnsi="Times New Roman" w:eastAsia="Times New Roman"/>
          <w:b w:val="0"/>
          <w:i w:val="0"/>
          <w:sz w:val="22"/>
        </w:rPr>
        <w:t>3. Nếu phát sinh điều kiện thi công không an toàn hoặc vượt ngoài phạm vi đã khảo sát, Bên B có quyền tạm dừng để yêu cầu xác nhận phương án xử lý, chi phí và tiến độ điều chỉnh.</w:t>
      </w:r>
    </w:p>
    <w:p>
      <w:pPr>
        <w:keepNext/>
        <w:spacing w:before="100"/>
      </w:pPr>
      <w:r>
        <w:rPr>
          <w:rFonts w:ascii="Times New Roman" w:hAnsi="Times New Roman" w:eastAsia="Times New Roman"/>
          <w:b/>
          <w:i w:val="0"/>
          <w:sz w:val="22"/>
        </w:rPr>
        <w:t>Điều 13. Chính sách thuế, hóa đơn và chứng từ</w:t>
      </w:r>
    </w:p>
    <w:p>
      <w:r>
        <w:rPr>
          <w:rFonts w:ascii="Times New Roman" w:hAnsi="Times New Roman" w:eastAsia="Times New Roman"/>
          <w:b w:val="0"/>
          <w:i w:val="0"/>
          <w:sz w:val="22"/>
        </w:rPr>
        <w:t>1. Thuế VAT, hóa đơn, chứng từ điện tử và các nghĩa vụ tài chính được thực hiện theo quy định pháp luật hiện hành và theo thông tin thể hiện trên báo giá/phụ lục/hóa đơn của từng giao dịch.</w:t>
      </w:r>
    </w:p>
    <w:p>
      <w:r>
        <w:rPr>
          <w:rFonts w:ascii="Times New Roman" w:hAnsi="Times New Roman" w:eastAsia="Times New Roman"/>
          <w:b w:val="0"/>
          <w:i w:val="0"/>
          <w:sz w:val="22"/>
        </w:rPr>
        <w:t>2. Trường hợp chính sách thuế, phí, lệ phí, hóa đơn hoặc quy định quản lý nhà nước thay đổi làm ảnh hưởng đến giá trị, hồ sơ hoặc thời điểm thực hiện, hai bên sẽ phối hợp điều chỉnh chứng từ và nghĩa vụ liên quan trên cơ sở văn bản pháp luật có hiệu lực tại thời điểm phát sinh.</w:t>
      </w:r>
    </w:p>
    <w:p>
      <w:r>
        <w:rPr>
          <w:rFonts w:ascii="Times New Roman" w:hAnsi="Times New Roman" w:eastAsia="Times New Roman"/>
          <w:b w:val="0"/>
          <w:i w:val="0"/>
          <w:sz w:val="22"/>
        </w:rPr>
        <w:t>3. Bên A có trách nhiệm cung cấp thông tin xuất hóa đơn chính xác trước thời điểm Bên B lập hóa đơn. Trường hợp thông tin sai do Bên A cung cấp, chi phí điều chỉnh/hủy/thay thế hóa đơn, nếu có, do Bên A chịu.</w:t>
      </w:r>
    </w:p>
    <w:p>
      <w:pPr>
        <w:keepNext/>
        <w:spacing w:before="100"/>
      </w:pPr>
      <w:r>
        <w:rPr>
          <w:rFonts w:ascii="Times New Roman" w:hAnsi="Times New Roman" w:eastAsia="Times New Roman"/>
          <w:b/>
          <w:i w:val="0"/>
          <w:sz w:val="22"/>
        </w:rPr>
        <w:t>Điều 14. Bảo mật thông tin và dữ liệu hồ sơ</w:t>
      </w:r>
    </w:p>
    <w:p>
      <w:r>
        <w:rPr>
          <w:rFonts w:ascii="Times New Roman" w:hAnsi="Times New Roman" w:eastAsia="Times New Roman"/>
          <w:b w:val="0"/>
          <w:i w:val="0"/>
          <w:sz w:val="22"/>
        </w:rPr>
        <w:t>1. Mọi thông tin về giá, bản vẽ, quy trình kỹ thuật, danh sách khách hàng, hồ sơ công trình, hình ảnh hiện trường, tài liệu nội bộ và thông tin kinh doanh của mỗi bên được xem là thông tin bảo mật, trừ khi thông tin đã công khai hợp pháp.</w:t>
      </w:r>
    </w:p>
    <w:p>
      <w:r>
        <w:rPr>
          <w:rFonts w:ascii="Times New Roman" w:hAnsi="Times New Roman" w:eastAsia="Times New Roman"/>
          <w:b w:val="0"/>
          <w:i w:val="0"/>
          <w:sz w:val="22"/>
        </w:rPr>
        <w:t>2. Các bên không được tiết lộ thông tin bảo mật cho bên thứ ba nếu không có sự đồng ý bằng văn bản của bên còn lại, trừ trường hợp cung cấp cho cơ quan nhà nước có thẩm quyền hoặc đơn vị tư vấn/hỗ trợ có nghĩa vụ bảo mật tương đương.</w:t>
      </w:r>
    </w:p>
    <w:p>
      <w:r>
        <w:rPr>
          <w:rFonts w:ascii="Times New Roman" w:hAnsi="Times New Roman" w:eastAsia="Times New Roman"/>
          <w:b w:val="0"/>
          <w:i w:val="0"/>
          <w:sz w:val="22"/>
        </w:rPr>
        <w:t>3. Nghĩa vụ bảo mật tiếp tục có hiệu lực trong vòng 24 tháng sau khi hợp đồng chấm dứt, trừ khi pháp luật yêu cầu thời hạn dài hơn.</w:t>
      </w:r>
    </w:p>
    <w:p>
      <w:pPr>
        <w:keepNext/>
        <w:spacing w:before="100"/>
      </w:pPr>
      <w:r>
        <w:rPr>
          <w:rFonts w:ascii="Times New Roman" w:hAnsi="Times New Roman" w:eastAsia="Times New Roman"/>
          <w:b/>
          <w:i w:val="0"/>
          <w:sz w:val="22"/>
        </w:rPr>
        <w:t>Điều 15. Tuân thủ pháp luật, chống hối lộ và xung đột lợi ích</w:t>
      </w:r>
    </w:p>
    <w:p>
      <w:r>
        <w:rPr>
          <w:rFonts w:ascii="Times New Roman" w:hAnsi="Times New Roman" w:eastAsia="Times New Roman"/>
          <w:b w:val="0"/>
          <w:i w:val="0"/>
          <w:sz w:val="22"/>
        </w:rPr>
        <w:t>1. Hai bên cam kết tuân thủ pháp luật, không thực hiện hành vi hối lộ, thông đồng, gian lận, cạnh tranh không lành mạnh hoặc lợi dụng hợp đồng để thực hiện giao dịch trái pháp luật.</w:t>
      </w:r>
    </w:p>
    <w:p>
      <w:r>
        <w:rPr>
          <w:rFonts w:ascii="Times New Roman" w:hAnsi="Times New Roman" w:eastAsia="Times New Roman"/>
          <w:b w:val="0"/>
          <w:i w:val="0"/>
          <w:sz w:val="22"/>
        </w:rPr>
        <w:t>2. Mọi khoản chiết khấu, hoa hồng, hỗ trợ, phí bên thứ ba nếu có phải được ghi nhận minh bạch bằng văn bản hoặc chứng từ hợp lệ theo chính sách nội bộ và quy định pháp luật.</w:t>
      </w:r>
    </w:p>
    <w:p>
      <w:r>
        <w:rPr>
          <w:rFonts w:ascii="Times New Roman" w:hAnsi="Times New Roman" w:eastAsia="Times New Roman"/>
          <w:b w:val="0"/>
          <w:i w:val="0"/>
          <w:sz w:val="22"/>
        </w:rPr>
        <w:t>3. Bên nào phát hiện nguy cơ xung đột lợi ích hoặc yêu cầu không phù hợp phải thông báo cho bên còn lại để xử lý trước khi tiếp tục thực hiện.</w:t>
      </w:r>
    </w:p>
    <w:p>
      <w:pPr>
        <w:keepNext/>
        <w:spacing w:before="100"/>
      </w:pPr>
      <w:r>
        <w:rPr>
          <w:rFonts w:ascii="Times New Roman" w:hAnsi="Times New Roman" w:eastAsia="Times New Roman"/>
          <w:b/>
          <w:i w:val="0"/>
          <w:sz w:val="22"/>
        </w:rPr>
        <w:t>Điều 16. Trao đổi điện tử, thông báo và lưu trữ hồ sơ</w:t>
      </w:r>
    </w:p>
    <w:p>
      <w:r>
        <w:rPr>
          <w:rFonts w:ascii="Times New Roman" w:hAnsi="Times New Roman" w:eastAsia="Times New Roman"/>
          <w:b w:val="0"/>
          <w:i w:val="0"/>
          <w:sz w:val="22"/>
        </w:rPr>
        <w:t>1. Thông báo, xác nhận, yêu cầu phát sinh, chấp thuận báo giá, xác nhận lịch thi công hoặc các trao đổi nghiệp vụ qua email, tin nhắn, hệ thống quản lý công việc hoặc văn bản điện tử được xem là căn cứ tham chiếu nếu xác định được người gửi, thời điểm gửi và nội dung trao đổi.</w:t>
      </w:r>
    </w:p>
    <w:p>
      <w:r>
        <w:rPr>
          <w:rFonts w:ascii="Times New Roman" w:hAnsi="Times New Roman" w:eastAsia="Times New Roman"/>
          <w:b w:val="0"/>
          <w:i w:val="0"/>
          <w:sz w:val="22"/>
        </w:rPr>
        <w:t>2. Các văn bản cần ký/đóng dấu như hợp đồng, phụ lục, nghiệm thu, quyết toán, đối chiếu công nợ và hồ sơ thanh toán sẽ thực hiện theo hình thức bản giấy hoặc bản điện tử có giá trị pháp lý tương đương nếu hai bên thống nhất.</w:t>
      </w:r>
    </w:p>
    <w:p>
      <w:r>
        <w:rPr>
          <w:rFonts w:ascii="Times New Roman" w:hAnsi="Times New Roman" w:eastAsia="Times New Roman"/>
          <w:b w:val="0"/>
          <w:i w:val="0"/>
          <w:sz w:val="22"/>
        </w:rPr>
        <w:t>3. Hồ sơ, hình ảnh, thông tin kỹ thuật, thông tin người liên hệ và dữ liệu giao dịch được thu thập chỉ nhằm mục đích thực hiện hợp đồng, quản lý bảo hành, bảo trì, thanh toán, đối chiếu công nợ và lưu trữ hồ sơ theo quy định.</w:t>
      </w:r>
    </w:p>
    <w:p>
      <w:r>
        <w:rPr>
          <w:rFonts w:ascii="Times New Roman" w:hAnsi="Times New Roman" w:eastAsia="Times New Roman"/>
          <w:b w:val="0"/>
          <w:i w:val="0"/>
          <w:sz w:val="22"/>
        </w:rPr>
        <w:t>4. Bên B được phép lưu trữ hồ sơ giao dịch trong hệ thống quản trị nội bộ để phục vụ truy xuất chứng từ, bảo hành, bảo trì, kiểm toán nội bộ và xử lý tranh chấp nếu có.</w:t>
      </w:r>
    </w:p>
    <w:p>
      <w:pPr>
        <w:keepNext/>
        <w:spacing w:before="100"/>
      </w:pPr>
      <w:r>
        <w:rPr>
          <w:rFonts w:ascii="Times New Roman" w:hAnsi="Times New Roman" w:eastAsia="Times New Roman"/>
          <w:b/>
          <w:i w:val="0"/>
          <w:sz w:val="22"/>
        </w:rPr>
        <w:t>Điều 17. Tạm ngừng, chấm dứt hợp đồng nguyên tắc</w:t>
      </w:r>
    </w:p>
    <w:p>
      <w:r>
        <w:rPr>
          <w:rFonts w:ascii="Times New Roman" w:hAnsi="Times New Roman" w:eastAsia="Times New Roman"/>
          <w:b w:val="0"/>
          <w:i w:val="0"/>
          <w:sz w:val="22"/>
        </w:rPr>
        <w:t>1. Hợp đồng nguyên tắc chấm dứt khi hết thời hạn, hai bên thỏa thuận chấm dứt, một bên vi phạm nghiêm trọng và không khắc phục trong thời hạn được yêu cầu hoặc trường hợp pháp luật có quy định khác.</w:t>
      </w:r>
    </w:p>
    <w:p>
      <w:r>
        <w:rPr>
          <w:rFonts w:ascii="Times New Roman" w:hAnsi="Times New Roman" w:eastAsia="Times New Roman"/>
          <w:b w:val="0"/>
          <w:i w:val="0"/>
          <w:sz w:val="22"/>
        </w:rPr>
        <w:t>2. Chấm dứt hợp đồng nguyên tắc không làm mất hiệu lực đối với các nghĩa vụ thanh toán, bảo mật, bảo hành, bồi thường và các giao dịch cụ thể đã phát sinh trước thời điểm chấm dứt.</w:t>
      </w:r>
    </w:p>
    <w:p>
      <w:pPr>
        <w:keepNext/>
        <w:spacing w:before="100"/>
      </w:pPr>
      <w:r>
        <w:rPr>
          <w:rFonts w:ascii="Times New Roman" w:hAnsi="Times New Roman" w:eastAsia="Times New Roman"/>
          <w:b/>
          <w:i w:val="0"/>
          <w:sz w:val="22"/>
        </w:rPr>
        <w:t>Điều 18. Giải quyết tranh chấp</w:t>
      </w:r>
    </w:p>
    <w:p>
      <w:r>
        <w:rPr>
          <w:rFonts w:ascii="Times New Roman" w:hAnsi="Times New Roman" w:eastAsia="Times New Roman"/>
          <w:b w:val="0"/>
          <w:i w:val="0"/>
          <w:sz w:val="22"/>
        </w:rPr>
        <w:t>1. Tranh chấp trước hết được giải quyết bằng thương lượng, hòa giải trên tinh thần hợp tác.</w:t>
      </w:r>
    </w:p>
    <w:p>
      <w:r>
        <w:rPr>
          <w:rFonts w:ascii="Times New Roman" w:hAnsi="Times New Roman" w:eastAsia="Times New Roman"/>
          <w:b w:val="0"/>
          <w:i w:val="0"/>
          <w:sz w:val="22"/>
        </w:rPr>
        <w:t>2. Nếu không giải quyết được, tranh chấp được đưa ra Tòa án có thẩm quyền theo quy định pháp luật để giải quyết. Phán quyết của Tòa án là cuối cùng và bắt buộc thi hành.</w:t>
      </w:r>
    </w:p>
    <w:p>
      <w:pPr>
        <w:keepNext/>
        <w:spacing w:before="100"/>
      </w:pPr>
      <w:r>
        <w:rPr>
          <w:rFonts w:ascii="Times New Roman" w:hAnsi="Times New Roman" w:eastAsia="Times New Roman"/>
          <w:b/>
          <w:i w:val="0"/>
          <w:sz w:val="22"/>
        </w:rPr>
        <w:t>Điều 19. Hiệu lực hợp đồng</w:t>
      </w:r>
    </w:p>
    <w:p>
      <w:r>
        <w:rPr>
          <w:rFonts w:ascii="Times New Roman" w:hAnsi="Times New Roman" w:eastAsia="Times New Roman"/>
          <w:b w:val="0"/>
          <w:i w:val="0"/>
          <w:sz w:val="22"/>
        </w:rPr>
        <w:t>1. Hợp đồng có hiệu lực từ ngày ký đến ngày {{ngay_het_hieu_luc}} hoặc đến khi hai bên ký văn bản thay thế/chấm dứt.</w:t>
      </w:r>
    </w:p>
    <w:p>
      <w:r>
        <w:rPr>
          <w:rFonts w:ascii="Times New Roman" w:hAnsi="Times New Roman" w:eastAsia="Times New Roman"/>
          <w:b w:val="0"/>
          <w:i w:val="0"/>
          <w:sz w:val="22"/>
        </w:rPr>
        <w:t>2. Hợp đồng được lập thành 02 bản, mỗi bên giữ 01 bản, có giá trị pháp lý như nhau.</w:t>
      </w:r>
    </w:p>
    <w:p>
      <w:r>
        <w:rPr>
          <w:rFonts w:ascii="Times New Roman" w:hAnsi="Times New Roman" w:eastAsia="Times New Roman"/>
          <w:b w:val="0"/>
          <w:i w:val="0"/>
          <w:sz w:val="22"/>
        </w:rPr>
      </w:r>
    </w:p>
    <w:tbl>
      <w:tblPr>
        <w:tblStyle w:val="TableGrid"/>
        <w:tblW w:type="auto" w:w="0"/>
        <w:tblLook w:firstColumn="1" w:firstRow="1" w:lastColumn="0" w:lastRow="0" w:noHBand="0" w:noVBand="1" w:val="04A0"/>
      </w:tblPr>
      <w:tblGrid>
        <w:gridCol w:w="5071"/>
        <w:gridCol w:w="5071"/>
      </w:tblGrid>
      <w:tr>
        <w:tc>
          <w:tcPr>
            <w:tcW w:type="dxa" w:w="5071"/>
            <w:vAlign w:val="center"/>
            <w:shd w:fill="D9EAF7"/>
          </w:tcPr>
          <w:p>
            <w:pPr>
              <w:jc w:val="center"/>
            </w:pPr>
            <w:r/>
            <w:r>
              <w:rPr>
                <w:rFonts w:ascii="Times New Roman" w:hAnsi="Times New Roman" w:eastAsia="Times New Roman"/>
                <w:b/>
                <w:sz w:val="22"/>
              </w:rPr>
              <w:t>ĐẠI DIỆN BÊN A</w:t>
              <w:br/>
              <w:t>(Ký, ghi rõ họ tên, chức vụ, đóng dấu)</w:t>
            </w:r>
          </w:p>
        </w:tc>
        <w:tc>
          <w:tcPr>
            <w:tcW w:type="dxa" w:w="5071"/>
            <w:vAlign w:val="center"/>
            <w:shd w:fill="D9EAF7"/>
          </w:tcPr>
          <w:p>
            <w:pPr>
              <w:jc w:val="center"/>
            </w:pPr>
            <w:r/>
            <w:r>
              <w:rPr>
                <w:rFonts w:ascii="Times New Roman" w:hAnsi="Times New Roman" w:eastAsia="Times New Roman"/>
                <w:b/>
                <w:sz w:val="22"/>
              </w:rPr>
              <w:t>ĐẠI DIỆN BÊN B</w:t>
              <w:br/>
              <w:t>(Ký, ghi rõ họ tên, chức vụ, đóng dấu)</w:t>
            </w:r>
          </w:p>
        </w:tc>
      </w:tr>
      <w:tr>
        <w:tc>
          <w:tcPr>
            <w:tcW w:type="dxa" w:w="5071"/>
            <w:vAlign w:val="center"/>
          </w:tcPr>
          <w:p>
            <w:pPr>
              <w:jc w:val="center"/>
            </w:pPr>
            <w:r/>
            <w:r>
              <w:rPr>
                <w:rFonts w:ascii="Times New Roman" w:hAnsi="Times New Roman" w:eastAsia="Times New Roman"/>
                <w:b/>
                <w:sz w:val="22"/>
              </w:rPr>
              <w:br/>
              <w:br/>
              <w:br/>
              <w:br/>
              <w:br/>
              <w:t>{{ben_a_nguoi_ky}}</w:t>
            </w:r>
          </w:p>
        </w:tc>
        <w:tc>
          <w:tcPr>
            <w:tcW w:type="dxa" w:w="5071"/>
            <w:vAlign w:val="center"/>
          </w:tcPr>
          <w:p>
            <w:pPr>
              <w:jc w:val="center"/>
            </w:pPr>
            <w:r/>
            <w:r>
              <w:rPr>
                <w:rFonts w:ascii="Times New Roman" w:hAnsi="Times New Roman" w:eastAsia="Times New Roman"/>
                <w:b/>
                <w:sz w:val="22"/>
              </w:rPr>
              <w:br/>
              <w:br/>
              <w:br/>
              <w:br/>
              <w:br/>
              <w:t>{{ben_b_nguoi_ky}}</w:t>
            </w:r>
          </w:p>
        </w:tc>
      </w:tr>
    </w:tbl>
    <w:sectPr w:rsidR="00FC693F" w:rsidRPr="0006063C" w:rsidSect="00034616">
      <w:headerReference w:type="default" r:id="rId9"/>
      <w:footerReference w:type="default" r:id="rId10"/>
      <w:pgSz w:w="12240" w:h="15840"/>
      <w:pgMar w:top="964" w:right="96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 xml:space="preserve">Trang </w:t>
    </w:r>
    <w:fldSimple w:instr="PAGE"/>
    <w:r>
      <w:rPr>
        <w:rFonts w:ascii="Times New Roman" w:hAnsi="Times New Roman"/>
        <w:color w:val="646464"/>
        <w:sz w:val="18"/>
      </w:rPr>
      <w:t xml:space="preserve"> | THANH HOÀI Contract Template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b/>
        <w:sz w:val="18"/>
      </w:rPr>
      <w:t>THANH HOÀI ERP - BỘ MẪU HỢP ĐỒNG</w:t>
    </w:r>
  </w:p>
  <w:p>
    <w:pPr>
      <w:jc w:val="center"/>
    </w:pPr>
    <w:r>
      <w:rPr>
        <w:rFonts w:ascii="Times New Roman" w:hAnsi="Times New Roman"/>
        <w:color w:val="5A5A5A"/>
        <w:sz w:val="16"/>
      </w:rPr>
      <w:t>HỢP ĐỒNG NGUYÊN TẮC | Mã mẫu: HDNT-TH-v1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