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CT-07-BBBG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BÀN GIAO CÔNG TRÌNH/HẠNG MỤC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Bàn giao hạng mục/công trình, tài liệu kèm theo, trách nhiệm bảo hành và hướng dẫn vận hành.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NỘI DUNG BÀN GIAO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Hạng mục/Tài liệu bàn giao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lượng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Tình trạng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TRÁCH NHIỆM SAU BÀN GIAO</w:t>
      </w:r>
    </w:p>
    <w:p>
      <w:pPr>
        <w:pStyle w:val="ListBullet"/>
      </w:pPr>
      <w:r>
        <w:rPr>
          <w:rFonts w:ascii="Arial" w:hAnsi="Arial" w:eastAsia="Arial"/>
          <w:sz w:val="20"/>
        </w:rPr>
        <w:t>Nhà thầu chuyển sang giai đoạn bảo hành theo hợp đồng.</w:t>
      </w:r>
    </w:p>
    <w:p>
      <w:pPr>
        <w:pStyle w:val="ListBullet"/>
      </w:pPr>
      <w:r>
        <w:rPr>
          <w:rFonts w:ascii="Arial" w:hAnsi="Arial" w:eastAsia="Arial"/>
          <w:sz w:val="20"/>
        </w:rPr>
        <w:t>Chủ đầu tư/đơn vị sử dụng tiếp nhận, vận hành theo hướng dẫn.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