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55345D">
      <w:pPr>
        <w:pStyle w:val="3"/>
        <w:bidi w:val="0"/>
        <w:rPr>
          <w:rFonts w:hint="eastAsia"/>
          <w:lang w:val="en-US" w:eastAsia="zh-CN"/>
        </w:rPr>
      </w:pPr>
      <w:r>
        <w:rPr>
          <w:rFonts w:hint="eastAsia"/>
          <w:lang w:val="en-US" w:eastAsia="zh-CN"/>
        </w:rPr>
        <w:t>基于多层动态图神经网络的交通-环境协同调控系统</w:t>
      </w:r>
    </w:p>
    <w:p w14:paraId="14FFAB39">
      <w:pPr>
        <w:pStyle w:val="4"/>
        <w:bidi w:val="0"/>
        <w:rPr>
          <w:rFonts w:hint="eastAsia"/>
          <w:lang w:val="en-US" w:eastAsia="zh-CN"/>
        </w:rPr>
      </w:pPr>
      <w:r>
        <w:rPr>
          <w:rFonts w:hint="eastAsia"/>
          <w:lang w:val="en-US" w:eastAsia="zh-CN"/>
        </w:rPr>
        <w:t>摘要</w:t>
      </w:r>
    </w:p>
    <w:p w14:paraId="6F356538">
      <w:pPr>
        <w:rPr>
          <w:rFonts w:hint="eastAsia"/>
          <w:lang w:val="en-US" w:eastAsia="zh-CN"/>
        </w:rPr>
      </w:pPr>
    </w:p>
    <w:p w14:paraId="08EB51C8">
      <w:pPr>
        <w:pStyle w:val="6"/>
        <w:bidi w:val="0"/>
        <w:rPr>
          <w:rFonts w:hint="eastAsia"/>
          <w:lang w:val="en-US" w:eastAsia="zh-CN"/>
        </w:rPr>
      </w:pPr>
      <w:r>
        <w:rPr>
          <w:rFonts w:hint="eastAsia"/>
          <w:lang w:val="en-US" w:eastAsia="zh-CN"/>
        </w:rPr>
        <w:t xml:space="preserve">关键词  </w:t>
      </w:r>
      <w:r>
        <w:rPr>
          <w:rFonts w:hint="eastAsia" w:ascii="宋体" w:hAnsi="宋体" w:eastAsia="宋体" w:cs="宋体"/>
          <w:sz w:val="21"/>
          <w:szCs w:val="21"/>
          <w:lang w:val="en-US" w:eastAsia="zh-CN"/>
        </w:rPr>
        <w:t>空气污染；；交通拓扑网络；LSTM时间序列模型 ；韧性；多目标优化</w:t>
      </w:r>
    </w:p>
    <w:p w14:paraId="6B37DEF1">
      <w:pPr>
        <w:rPr>
          <w:rFonts w:hint="eastAsia"/>
          <w:lang w:val="en-US" w:eastAsia="zh-CN"/>
        </w:rPr>
      </w:pPr>
      <w:r>
        <w:rPr>
          <w:rFonts w:hint="eastAsia"/>
          <w:lang w:val="en-US" w:eastAsia="zh-CN"/>
        </w:rPr>
        <w:br w:type="page"/>
      </w:r>
    </w:p>
    <w:p w14:paraId="35185EDB">
      <w:pPr>
        <w:pStyle w:val="4"/>
        <w:bidi w:val="0"/>
        <w:rPr>
          <w:rFonts w:hint="eastAsia"/>
          <w:lang w:val="en-US" w:eastAsia="zh-CN"/>
        </w:rPr>
      </w:pPr>
      <w:r>
        <w:rPr>
          <w:rFonts w:hint="eastAsia"/>
          <w:lang w:val="en-US" w:eastAsia="zh-CN"/>
        </w:rPr>
        <w:t>表格与插图清单</w:t>
      </w:r>
    </w:p>
    <w:p w14:paraId="17779418">
      <w:pPr>
        <w:rPr>
          <w:rFonts w:hint="eastAsia"/>
          <w:sz w:val="32"/>
          <w:szCs w:val="32"/>
          <w:lang w:val="en-US" w:eastAsia="zh-CN"/>
        </w:rPr>
      </w:pPr>
      <w:r>
        <w:rPr>
          <w:rFonts w:hint="eastAsia"/>
          <w:sz w:val="32"/>
          <w:szCs w:val="32"/>
          <w:lang w:val="en-US" w:eastAsia="zh-CN"/>
        </w:rPr>
        <w:br w:type="page"/>
      </w:r>
    </w:p>
    <w:p w14:paraId="7D90018F">
      <w:pPr>
        <w:pStyle w:val="4"/>
        <w:numPr>
          <w:ilvl w:val="0"/>
          <w:numId w:val="1"/>
        </w:numPr>
        <w:bidi w:val="0"/>
        <w:ind w:left="-643" w:leftChars="0" w:firstLineChars="0"/>
        <w:rPr>
          <w:rStyle w:val="17"/>
          <w:rFonts w:hint="eastAsia"/>
          <w:lang w:val="en-US" w:eastAsia="zh-CN"/>
        </w:rPr>
      </w:pPr>
      <w:r>
        <w:rPr>
          <w:rFonts w:hint="eastAsia"/>
          <w:lang w:val="en-US" w:eastAsia="zh-CN"/>
        </w:rPr>
        <w:t>绪论</w:t>
      </w:r>
    </w:p>
    <w:p w14:paraId="7531AF97">
      <w:pPr>
        <w:pStyle w:val="5"/>
        <w:numPr>
          <w:ilvl w:val="0"/>
          <w:numId w:val="2"/>
        </w:numPr>
        <w:bidi w:val="0"/>
        <w:ind w:left="0" w:leftChars="0" w:firstLineChars="0"/>
        <w:rPr>
          <w:rFonts w:hint="eastAsia"/>
          <w:lang w:val="en-US" w:eastAsia="zh-CN"/>
        </w:rPr>
      </w:pPr>
      <w:r>
        <w:rPr>
          <w:rFonts w:hint="eastAsia"/>
          <w:lang w:val="en-US" w:eastAsia="zh-CN"/>
        </w:rPr>
        <w:t>研究背景与研究意义</w:t>
      </w:r>
    </w:p>
    <w:p w14:paraId="59FA0FD6">
      <w:pPr>
        <w:pStyle w:val="6"/>
        <w:numPr>
          <w:ilvl w:val="0"/>
          <w:numId w:val="3"/>
        </w:numPr>
        <w:bidi w:val="0"/>
        <w:rPr>
          <w:rFonts w:hint="default"/>
          <w:lang w:val="en-US" w:eastAsia="zh-CN"/>
        </w:rPr>
      </w:pPr>
      <w:r>
        <w:rPr>
          <w:rFonts w:hint="eastAsia"/>
          <w:lang w:val="en-US" w:eastAsia="zh-CN"/>
        </w:rPr>
        <w:t>研究背景</w:t>
      </w:r>
    </w:p>
    <w:p w14:paraId="6725A8A9">
      <w:pPr>
        <w:bidi w:val="0"/>
        <w:ind w:firstLine="480" w:firstLineChars="200"/>
        <w:rPr>
          <w:rFonts w:hint="eastAsia"/>
          <w:lang w:val="en-US" w:eastAsia="zh-CN"/>
        </w:rPr>
      </w:pPr>
      <w:r>
        <w:rPr>
          <w:rFonts w:hint="eastAsia"/>
          <w:lang w:val="en-US" w:eastAsia="zh-CN"/>
        </w:rPr>
        <w:t>随着总书记“绿水青山就是金山银山”理念的提出</w:t>
      </w:r>
      <w:r>
        <w:rPr>
          <w:rFonts w:hint="eastAsia"/>
        </w:rPr>
        <w:t>，</w:t>
      </w:r>
      <w:r>
        <w:rPr>
          <w:rFonts w:hint="eastAsia"/>
          <w:lang w:val="en-US" w:eastAsia="zh-CN"/>
        </w:rPr>
        <w:t>绿色低碳、保护环境成为当今社会的一大热点。对于旅游城市而言，旅游月游客急剧增加造成的污染对城市环境有很大的影响，同样的，也对城市交通系统带来了极大的挑战。</w:t>
      </w:r>
    </w:p>
    <w:p w14:paraId="62D57D0D">
      <w:pPr>
        <w:bidi w:val="0"/>
        <w:ind w:firstLine="480" w:firstLineChars="200"/>
        <w:rPr>
          <w:rFonts w:hint="eastAsia"/>
        </w:rPr>
      </w:pPr>
      <w:r>
        <w:rPr>
          <w:rFonts w:hint="eastAsia"/>
          <w:lang w:val="en-US" w:eastAsia="zh-CN"/>
        </w:rPr>
        <w:t>地铁作为一种绿色出行方式，具有高效、便捷、环保的特点，而</w:t>
      </w:r>
      <w:r>
        <w:rPr>
          <w:rFonts w:hint="eastAsia"/>
        </w:rPr>
        <w:t>地铁系统作为城市公共交通的核心载体，其运营管理面临日益复杂的挑战。</w:t>
      </w:r>
      <w:r>
        <w:rPr>
          <w:rFonts w:hint="eastAsia"/>
          <w:lang w:val="en-US" w:eastAsia="zh-CN"/>
        </w:rPr>
        <w:t>以西安市为例：</w:t>
      </w:r>
      <w:r>
        <w:rPr>
          <w:rFonts w:hint="eastAsia"/>
        </w:rPr>
        <w:t>一方面，</w:t>
      </w:r>
      <w:r>
        <w:rPr>
          <w:rFonts w:hint="eastAsia"/>
          <w:lang w:val="en-US" w:eastAsia="zh-CN"/>
        </w:rPr>
        <w:t>旅游</w:t>
      </w:r>
      <w:r>
        <w:rPr>
          <w:rFonts w:hint="eastAsia"/>
        </w:rPr>
        <w:t>城市</w:t>
      </w:r>
      <w:r>
        <w:rPr>
          <w:rFonts w:hint="eastAsia"/>
          <w:lang w:val="en-US" w:eastAsia="zh-CN"/>
        </w:rPr>
        <w:t>飞速发展，其带来的</w:t>
      </w:r>
      <w:r>
        <w:rPr>
          <w:rFonts w:hint="eastAsia"/>
        </w:rPr>
        <w:t>人口增长和出行需求激增导致地铁客流量持续攀升。</w:t>
      </w:r>
      <w:r>
        <w:rPr>
          <w:rFonts w:hint="eastAsia"/>
          <w:lang w:val="en-US" w:eastAsia="zh-CN"/>
        </w:rPr>
        <w:t>自</w:t>
      </w:r>
      <w:r>
        <w:rPr>
          <w:rFonts w:hint="eastAsia"/>
        </w:rPr>
        <w:t>2019至2024年间，地铁日均客流量从258.99万人次增长至382.23万人次，增幅达47.6%，而国庆节单日峰值客流更是从280.85万人次增至445.25万人次，</w:t>
      </w:r>
      <w:r>
        <w:rPr>
          <w:rFonts w:hint="eastAsia"/>
          <w:lang w:val="en-US" w:eastAsia="zh-CN"/>
        </w:rPr>
        <w:t>旅游</w:t>
      </w:r>
      <w:r>
        <w:rPr>
          <w:rFonts w:hint="eastAsia"/>
        </w:rPr>
        <w:t>高峰时段运力紧张</w:t>
      </w:r>
      <w:r>
        <w:rPr>
          <w:rFonts w:hint="eastAsia"/>
          <w:lang w:val="en-US" w:eastAsia="zh-CN"/>
        </w:rPr>
        <w:t>等问题逐渐浮现</w:t>
      </w:r>
      <w:r>
        <w:rPr>
          <w:rFonts w:hint="eastAsia"/>
        </w:rPr>
        <w:t>。另一方面，</w:t>
      </w:r>
      <w:r>
        <w:rPr>
          <w:rFonts w:hint="eastAsia"/>
          <w:lang w:val="en-US" w:eastAsia="zh-CN"/>
        </w:rPr>
        <w:t>随着</w:t>
      </w:r>
      <w:r>
        <w:rPr>
          <w:rFonts w:hint="eastAsia"/>
        </w:rPr>
        <w:t>地铁网络规模不断扩大，西安地铁线路从5条增至10条，换乘站数量翻倍，使得网络拓扑结构更加复杂，关键节点（换乘站）的失效风险显著增加。</w:t>
      </w:r>
    </w:p>
    <w:p w14:paraId="6D85BF39">
      <w:pPr>
        <w:bidi w:val="0"/>
        <w:rPr>
          <w:rFonts w:hint="eastAsia"/>
        </w:rPr>
      </w:pPr>
      <w:r>
        <w:rPr>
          <w:rFonts w:hint="eastAsia"/>
        </w:rPr>
        <w:t>与此同时，地铁系统频繁受到各类突发扰动的影响，包括设备故障、极端天气、大客流冲击等。这些扰动可能导致局部站点或线路中断，进而引发全网性拥堵甚至瘫痪。例如，若西安地铁关键换乘“小寨站”关闭，全网通行效率可能下降40%以上。然而，传统的地铁运营管理方法多依赖静态调度规则或单目标优化模型，难以动态响应客流波动和网络结构变化，缺乏对系统韧性的量化评估与主动提升策略。</w:t>
      </w:r>
    </w:p>
    <w:p w14:paraId="275DC9C8">
      <w:pPr>
        <w:bidi w:val="0"/>
        <w:rPr>
          <w:rFonts w:hint="eastAsia"/>
        </w:rPr>
      </w:pPr>
      <w:r>
        <w:rPr>
          <w:rFonts w:hint="eastAsia"/>
        </w:rPr>
        <w:t>在此背景下，韧性成为城市交通系统研究的核心议题之一。韧性</w:t>
      </w:r>
      <w:r>
        <w:rPr>
          <w:rFonts w:hint="eastAsia"/>
          <w:lang w:val="en-US" w:eastAsia="zh-CN"/>
        </w:rPr>
        <w:t>代表</w:t>
      </w:r>
      <w:r>
        <w:rPr>
          <w:rFonts w:hint="eastAsia"/>
        </w:rPr>
        <w:t>系统在遭受扰动后维持核心功能并快速恢复的能力，其评估需综合考量网络拓扑特性、动态客流分布及外部环境因素。现有</w:t>
      </w:r>
      <w:r>
        <w:rPr>
          <w:rFonts w:hint="eastAsia"/>
          <w:lang w:val="en-US" w:eastAsia="zh-CN"/>
        </w:rPr>
        <w:t>的</w:t>
      </w:r>
      <w:r>
        <w:rPr>
          <w:rFonts w:hint="eastAsia"/>
        </w:rPr>
        <w:t>研究虽在复杂网络韧性分析或时序预测领域取得进展，但多数存在以下局限：</w:t>
      </w:r>
      <w:r>
        <w:rPr>
          <w:rFonts w:hint="eastAsia"/>
          <w:lang w:val="en-US" w:eastAsia="zh-CN"/>
        </w:rPr>
        <w:t>一方面，</w:t>
      </w:r>
      <w:r>
        <w:rPr>
          <w:rFonts w:hint="eastAsia"/>
        </w:rPr>
        <w:t>未将预测模型与韧性优化有机结合，难以实现闭环决策；</w:t>
      </w:r>
      <w:r>
        <w:rPr>
          <w:rFonts w:hint="eastAsia"/>
          <w:lang w:val="en-US" w:eastAsia="zh-CN"/>
        </w:rPr>
        <w:t>另一方面，决策</w:t>
      </w:r>
      <w:r>
        <w:rPr>
          <w:rFonts w:hint="eastAsia"/>
        </w:rPr>
        <w:t>优化目标单一，无法兼顾效率、</w:t>
      </w:r>
      <w:r>
        <w:rPr>
          <w:rFonts w:hint="eastAsia"/>
          <w:lang w:val="en-US" w:eastAsia="zh-CN"/>
        </w:rPr>
        <w:t>环保</w:t>
      </w:r>
      <w:r>
        <w:rPr>
          <w:rFonts w:hint="eastAsia"/>
        </w:rPr>
        <w:t>等多重要求。</w:t>
      </w:r>
    </w:p>
    <w:p w14:paraId="28FDFDF2">
      <w:pPr>
        <w:bidi w:val="0"/>
        <w:rPr>
          <w:rFonts w:hint="default"/>
          <w:lang w:val="en-US" w:eastAsia="zh-CN"/>
        </w:rPr>
      </w:pPr>
      <w:r>
        <w:rPr>
          <w:rFonts w:hint="eastAsia"/>
        </w:rPr>
        <w:t>因此，本</w:t>
      </w:r>
      <w:r>
        <w:rPr>
          <w:rFonts w:hint="eastAsia"/>
          <w:lang w:val="en-US" w:eastAsia="zh-CN"/>
        </w:rPr>
        <w:t>文</w:t>
      </w:r>
      <w:r>
        <w:rPr>
          <w:rFonts w:hint="eastAsia"/>
        </w:rPr>
        <w:t>旨在融合LSTM时间序列预测、复杂网络理论与多目标优化方法，构建一套动态韧性评估与决策系统。首先基于复杂网络理论构建城市轨道交通系统的拓扑模型，建立网络结构的基础框架。在此基础上，</w:t>
      </w:r>
      <w:r>
        <w:rPr>
          <w:rFonts w:hint="eastAsia"/>
          <w:lang w:val="en-US" w:eastAsia="zh-CN"/>
        </w:rPr>
        <w:t>使</w:t>
      </w:r>
      <w:r>
        <w:rPr>
          <w:rFonts w:hint="eastAsia"/>
        </w:rPr>
        <w:t>用LSTM时间序列模型动态预测短期客流变化和空气质量，并将预测结果作为复杂网络的动态权重参数，实现网络状态的实时更新。最后，基于多目标优化算法，综合考虑运营效率、和环境效益</w:t>
      </w:r>
      <w:r>
        <w:rPr>
          <w:rFonts w:hint="eastAsia"/>
          <w:lang w:val="en-US" w:eastAsia="zh-CN"/>
        </w:rPr>
        <w:t>两</w:t>
      </w:r>
      <w:r>
        <w:rPr>
          <w:rFonts w:hint="eastAsia"/>
        </w:rPr>
        <w:t>个目标函数，生成系统性的韧性提升策略，为地铁运营管理提供科学的决策支持。</w:t>
      </w:r>
    </w:p>
    <w:p w14:paraId="21DEEE20">
      <w:pPr>
        <w:pStyle w:val="6"/>
        <w:numPr>
          <w:ilvl w:val="0"/>
          <w:numId w:val="3"/>
        </w:numPr>
        <w:bidi w:val="0"/>
        <w:rPr>
          <w:rFonts w:hint="default"/>
          <w:lang w:val="en-US" w:eastAsia="zh-CN"/>
        </w:rPr>
      </w:pPr>
      <w:r>
        <w:rPr>
          <w:rFonts w:hint="eastAsia"/>
          <w:lang w:val="en-US" w:eastAsia="zh-CN"/>
        </w:rPr>
        <w:t>研究意义</w:t>
      </w:r>
    </w:p>
    <w:p w14:paraId="28DA1789">
      <w:pPr>
        <w:bidi w:val="0"/>
        <w:rPr>
          <w:rFonts w:hint="default"/>
          <w:lang w:val="en-US" w:eastAsia="zh-CN"/>
        </w:rPr>
      </w:pPr>
      <w:r>
        <w:rPr>
          <w:rFonts w:hint="eastAsia"/>
          <w:lang w:val="en-US" w:eastAsia="zh-CN"/>
        </w:rPr>
        <w:t>本文针对旅游城市旺月下的城市交通系统韧性评估以及空气污染预测，目的在于维护旅游月客流量剧增对交通网络带来的冲击，为旅游城市重要旅游月提供合理高效、低成本、低空气污染的决策。</w:t>
      </w:r>
    </w:p>
    <w:p w14:paraId="5617F1D2">
      <w:pPr>
        <w:bidi w:val="0"/>
        <w:rPr>
          <w:rFonts w:hint="eastAsia"/>
        </w:rPr>
      </w:pPr>
      <w:r>
        <w:rPr>
          <w:rFonts w:hint="eastAsia"/>
        </w:rPr>
        <w:t>理论</w:t>
      </w:r>
      <w:r>
        <w:rPr>
          <w:rFonts w:hint="eastAsia"/>
          <w:lang w:val="en-US" w:eastAsia="zh-CN"/>
        </w:rPr>
        <w:t>方面：优化了</w:t>
      </w:r>
      <w:r>
        <w:rPr>
          <w:rFonts w:hint="eastAsia"/>
        </w:rPr>
        <w:t>动态网络韧性评估，突破了传统静态网络分析方法的局限，为复杂基础设施系统的研究提供了</w:t>
      </w:r>
      <w:r>
        <w:rPr>
          <w:rFonts w:hint="eastAsia"/>
          <w:lang w:val="en-US" w:eastAsia="zh-CN"/>
        </w:rPr>
        <w:t>新的优化方法</w:t>
      </w:r>
      <w:r>
        <w:rPr>
          <w:rFonts w:hint="eastAsia"/>
        </w:rPr>
        <w:t>。构建了</w:t>
      </w:r>
      <w:r>
        <w:rPr>
          <w:rFonts w:hint="eastAsia"/>
          <w:lang w:eastAsia="zh-CN"/>
        </w:rPr>
        <w:t>“</w:t>
      </w:r>
      <w:r>
        <w:rPr>
          <w:rFonts w:hint="eastAsia"/>
        </w:rPr>
        <w:t>评估</w:t>
      </w:r>
      <w:r>
        <w:rPr>
          <w:rFonts w:hint="eastAsia"/>
          <w:lang w:val="en-US" w:eastAsia="zh-CN"/>
        </w:rPr>
        <w:t>-</w:t>
      </w:r>
      <w:r>
        <w:rPr>
          <w:rFonts w:hint="eastAsia"/>
        </w:rPr>
        <w:t>预测-优化</w:t>
      </w:r>
      <w:r>
        <w:rPr>
          <w:rFonts w:hint="eastAsia"/>
          <w:lang w:eastAsia="zh-CN"/>
        </w:rPr>
        <w:t>”</w:t>
      </w:r>
      <w:r>
        <w:rPr>
          <w:rFonts w:hint="eastAsia"/>
        </w:rPr>
        <w:t>的全链条研究方法论，实现了数据驱动与模型驱动的有机融合，丰富了智能交通管理的理论体系。</w:t>
      </w:r>
      <w:r>
        <w:rPr>
          <w:rFonts w:hint="eastAsia"/>
          <w:lang w:val="en-US" w:eastAsia="zh-CN"/>
        </w:rPr>
        <w:t>本文</w:t>
      </w:r>
      <w:r>
        <w:rPr>
          <w:rFonts w:hint="eastAsia"/>
        </w:rPr>
        <w:t>研究路径既符合复杂系统分析的基本逻辑，又能充分发挥各类方法的优势，形成完整的研究闭环。</w:t>
      </w:r>
    </w:p>
    <w:p w14:paraId="4EA509E5">
      <w:pPr>
        <w:bidi w:val="0"/>
        <w:rPr>
          <w:rFonts w:hint="default"/>
          <w:lang w:val="en-US" w:eastAsia="zh-CN"/>
        </w:rPr>
      </w:pPr>
      <w:r>
        <w:rPr>
          <w:rFonts w:hint="eastAsia"/>
          <w:lang w:val="en-US" w:eastAsia="zh-CN"/>
        </w:rPr>
        <w:t>在</w:t>
      </w:r>
      <w:r>
        <w:rPr>
          <w:rFonts w:hint="eastAsia"/>
        </w:rPr>
        <w:t>实践</w:t>
      </w:r>
      <w:r>
        <w:rPr>
          <w:rFonts w:hint="eastAsia"/>
          <w:lang w:val="en-US" w:eastAsia="zh-CN"/>
        </w:rPr>
        <w:t>方面：本文结合具体旅游数据，通过实证分析验证了复杂网络-LSTM多目标优化模型预测的有效性和实用性</w:t>
      </w:r>
      <w:r>
        <w:rPr>
          <w:rFonts w:hint="eastAsia"/>
        </w:rPr>
        <w:t>，为解决城市轨道交通系统面临的韧性挑战提供了系统化解决方案，为地铁运营部门提供科学的决策支持工具，对保障城市公共交通系统安全、</w:t>
      </w:r>
      <w:r>
        <w:rPr>
          <w:rFonts w:hint="eastAsia"/>
          <w:lang w:val="en-US" w:eastAsia="zh-CN"/>
        </w:rPr>
        <w:t>空气质量、</w:t>
      </w:r>
      <w:r>
        <w:rPr>
          <w:rFonts w:hint="eastAsia"/>
        </w:rPr>
        <w:t>提升运营效率、促进可持续发展具有重要价值。研究成果不仅有助于完善相关学科理论体系，更能为城市治理现代化提供技术支撑。</w:t>
      </w:r>
    </w:p>
    <w:p w14:paraId="0DFE68DE">
      <w:pPr>
        <w:pStyle w:val="5"/>
        <w:numPr>
          <w:ilvl w:val="0"/>
          <w:numId w:val="2"/>
        </w:numPr>
        <w:bidi w:val="0"/>
        <w:rPr>
          <w:rFonts w:hint="default"/>
          <w:lang w:val="en-US" w:eastAsia="zh-CN"/>
        </w:rPr>
      </w:pPr>
      <w:r>
        <w:rPr>
          <w:rFonts w:hint="eastAsia"/>
          <w:lang w:val="en-US" w:eastAsia="zh-CN"/>
        </w:rPr>
        <w:t>文献综述</w:t>
      </w:r>
    </w:p>
    <w:p w14:paraId="6C05B6A6">
      <w:pPr>
        <w:bidi w:val="0"/>
        <w:rPr>
          <w:rFonts w:hint="default"/>
          <w:lang w:val="en-US" w:eastAsia="zh-CN"/>
        </w:rPr>
      </w:pPr>
      <w:r>
        <w:rPr>
          <w:rFonts w:hint="default"/>
          <w:lang w:val="en-US" w:eastAsia="zh-CN"/>
        </w:rPr>
        <w:t>近年来，动态权重网络成为研究热点，如通过实时交通流数据调整网络边权重的方法，但尚未充分整合高精度时序预测技术。在时间序列预测领域，LSTM因能有效捕捉长期依赖关系而被广泛应用于交通流量预测。国内研究则更多关注于LSTM与统计模型的混合架构，但在处理非平稳性和多源数据融合方面仍存在局限。现有的多数复杂网络研究仍采用固定权重或简化的动态假设，而城市交通多目标优化往往忽视环境成本等非效率目标，且未充分结合预测结果进行动态调整。本研究通过构建"拓扑网络-动态预测-多目标优化"的闭环框架，旨在为我国旅游城市的地铁对于人流量冲击的问题提供合理的参考</w:t>
      </w:r>
      <w:r>
        <w:rPr>
          <w:rFonts w:hint="eastAsia"/>
          <w:lang w:val="en-US" w:eastAsia="zh-CN"/>
        </w:rPr>
        <w:t>意见</w:t>
      </w:r>
      <w:r>
        <w:rPr>
          <w:rFonts w:hint="default"/>
          <w:lang w:val="en-US" w:eastAsia="zh-CN"/>
        </w:rPr>
        <w:t>。</w:t>
      </w:r>
    </w:p>
    <w:p w14:paraId="46C97F1D">
      <w:pPr>
        <w:pStyle w:val="5"/>
        <w:numPr>
          <w:ilvl w:val="0"/>
          <w:numId w:val="2"/>
        </w:numPr>
        <w:bidi w:val="0"/>
        <w:ind w:left="0" w:leftChars="0" w:firstLine="0" w:firstLineChars="0"/>
        <w:rPr>
          <w:rFonts w:hint="default"/>
          <w:lang w:val="en-US" w:eastAsia="zh-CN"/>
        </w:rPr>
      </w:pPr>
      <w:r>
        <w:rPr>
          <w:rFonts w:hint="eastAsia"/>
          <w:lang w:val="en-US" w:eastAsia="zh-CN"/>
        </w:rPr>
        <w:t>研究内容与思维导图</w:t>
      </w:r>
    </w:p>
    <w:p w14:paraId="07B1ACBA">
      <w:pPr>
        <w:pStyle w:val="6"/>
        <w:numPr>
          <w:ilvl w:val="0"/>
          <w:numId w:val="4"/>
        </w:numPr>
        <w:bidi w:val="0"/>
        <w:rPr>
          <w:rFonts w:hint="default"/>
          <w:lang w:val="en-US" w:eastAsia="zh-CN"/>
        </w:rPr>
      </w:pPr>
      <w:r>
        <w:rPr>
          <w:rFonts w:hint="eastAsia"/>
          <w:lang w:val="en-US" w:eastAsia="zh-CN"/>
        </w:rPr>
        <w:t>研究内容</w:t>
      </w:r>
    </w:p>
    <w:p w14:paraId="2B339DAB">
      <w:pPr>
        <w:bidi w:val="0"/>
        <w:rPr>
          <w:rFonts w:hint="default"/>
          <w:lang w:val="en-US" w:eastAsia="zh-CN"/>
        </w:rPr>
      </w:pPr>
      <w:r>
        <w:rPr>
          <w:rFonts w:hint="default"/>
          <w:lang w:val="en-US" w:eastAsia="zh-CN"/>
        </w:rPr>
        <w:t>随着城市化进程加速，地铁系统作为城市公共交通的核心载体，其运营管理面临日益复杂的挑战。而旅游城市旅游月游客冲击导致的地铁网络性能下降问题以及环境状态问题亟待解决。在此背景下，本文提出融合LSTM时间序列预测、复杂网络理论和多目标优化的韧性评估系统，旨在突破现有动态耦合、多目标协同评估等方面研究的不足。本研究为地铁运营部门提供</w:t>
      </w:r>
      <w:r>
        <w:rPr>
          <w:rFonts w:hint="eastAsia"/>
          <w:lang w:val="en-US" w:eastAsia="zh-CN"/>
        </w:rPr>
        <w:t>了</w:t>
      </w:r>
      <w:r>
        <w:rPr>
          <w:rFonts w:hint="default"/>
          <w:lang w:val="en-US" w:eastAsia="zh-CN"/>
        </w:rPr>
        <w:t>科学的决策支持工具，对保障城市公共交通系统安全、提升运营效率具有重要现实意义。全文</w:t>
      </w:r>
      <w:r>
        <w:rPr>
          <w:rFonts w:hint="eastAsia"/>
          <w:lang w:val="en-US" w:eastAsia="zh-CN"/>
        </w:rPr>
        <w:t>主要</w:t>
      </w:r>
      <w:r>
        <w:rPr>
          <w:rFonts w:hint="default"/>
          <w:lang w:val="en-US" w:eastAsia="zh-CN"/>
        </w:rPr>
        <w:t>分为四个部分，主要内容概述如下：</w:t>
      </w:r>
    </w:p>
    <w:p w14:paraId="61AF5B68">
      <w:pPr>
        <w:numPr>
          <w:ilvl w:val="0"/>
          <w:numId w:val="5"/>
        </w:numPr>
        <w:bidi w:val="0"/>
        <w:rPr>
          <w:rFonts w:hint="default"/>
          <w:lang w:val="en-US" w:eastAsia="zh-CN"/>
        </w:rPr>
      </w:pPr>
      <w:r>
        <w:rPr>
          <w:rFonts w:hint="eastAsia"/>
          <w:lang w:val="en-US" w:eastAsia="zh-CN"/>
        </w:rPr>
        <w:t>绪论：主要阐述了本文的研究背景和研究意义，通过对社会热点引申到旅游城市的地铁网络交通系统的韧性评估问题与国内文献综述，明确了本文的研究内容与研究方法。</w:t>
      </w:r>
    </w:p>
    <w:p w14:paraId="4EA9F5D1">
      <w:pPr>
        <w:numPr>
          <w:ilvl w:val="0"/>
          <w:numId w:val="5"/>
        </w:numPr>
        <w:bidi w:val="0"/>
        <w:rPr>
          <w:rFonts w:hint="default"/>
          <w:lang w:val="en-US" w:eastAsia="zh-CN"/>
        </w:rPr>
      </w:pPr>
      <w:r>
        <w:rPr>
          <w:rFonts w:hint="eastAsia"/>
          <w:lang w:val="en-US" w:eastAsia="zh-CN"/>
        </w:rPr>
        <w:t>地铁交通数据与空气质量数据处理部分：先选取数据，通过Z-score标准化消除量纲影响，并运用三次样条插值处理缺失值。采用Spearman等级相关系数分析变量间的非线性关系，探讨地铁交通数据对AQI的相关程度，节假日对客流的影响程度，为后续建模奠定数据基础。</w:t>
      </w:r>
    </w:p>
    <w:p w14:paraId="680D19B1">
      <w:pPr>
        <w:numPr>
          <w:ilvl w:val="0"/>
          <w:numId w:val="5"/>
        </w:numPr>
        <w:bidi w:val="0"/>
        <w:rPr>
          <w:rFonts w:hint="default"/>
          <w:lang w:val="en-US" w:eastAsia="zh-CN"/>
        </w:rPr>
      </w:pPr>
      <w:r>
        <w:rPr>
          <w:rFonts w:hint="eastAsia"/>
          <w:lang w:val="en-US" w:eastAsia="zh-CN"/>
        </w:rPr>
        <w:t>构建三级递进式模型体系：复杂网络基础模型：采用有向加权图表示地铁网络，构建城市轨道交通系统的拓扑模型，建立网络结构的基础框架，计算动态介数中心性识别关键节点；LSTM预测模型：在复杂网络模型基础上，使用LSTM时间序列模型动态预测短期客流变化和空气质量，并将预测结果作为复杂网络的动态权重参数，实现网络状态的实时更新；多目标优化模型：以网络效率、运营成本和环境效益为目标，根据上述网络模型与LSTM时间序列模型给出最佳决策结果。</w:t>
      </w:r>
    </w:p>
    <w:p w14:paraId="525233A7">
      <w:pPr>
        <w:numPr>
          <w:ilvl w:val="0"/>
          <w:numId w:val="5"/>
        </w:numPr>
        <w:bidi w:val="0"/>
        <w:rPr>
          <w:rFonts w:hint="default"/>
          <w:lang w:val="en-US" w:eastAsia="zh-CN"/>
        </w:rPr>
      </w:pPr>
      <w:r>
        <w:rPr>
          <w:rFonts w:hint="eastAsia"/>
          <w:lang w:val="en-US" w:eastAsia="zh-CN"/>
        </w:rPr>
        <w:t xml:space="preserve">结论与展望：对本文研究成果进行分析，以及模型的优劣评价，与未来研究方向的展望。 </w:t>
      </w:r>
    </w:p>
    <w:p w14:paraId="3594E92E">
      <w:pPr>
        <w:pStyle w:val="6"/>
        <w:numPr>
          <w:ilvl w:val="0"/>
          <w:numId w:val="4"/>
        </w:numPr>
        <w:bidi w:val="0"/>
        <w:rPr>
          <w:rFonts w:hint="default"/>
          <w:lang w:val="en-US" w:eastAsia="zh-CN"/>
        </w:rPr>
      </w:pPr>
      <w:r>
        <w:rPr>
          <w:rFonts w:hint="eastAsia"/>
          <w:lang w:val="en-US" w:eastAsia="zh-CN"/>
        </w:rPr>
        <w:t>思维导图</w:t>
      </w:r>
    </w:p>
    <w:p w14:paraId="5204D6D7">
      <w:pPr>
        <w:pStyle w:val="12"/>
        <w:bidi w:val="0"/>
        <w:rPr>
          <w:rFonts w:hint="default"/>
          <w:lang w:val="en-US" w:eastAsia="zh-CN"/>
        </w:rPr>
      </w:pPr>
      <w:r>
        <w:rPr>
          <w:rFonts w:hint="default"/>
          <w:lang w:val="en-US" w:eastAsia="zh-CN"/>
        </w:rPr>
        <w:drawing>
          <wp:inline distT="0" distB="0" distL="114300" distR="114300">
            <wp:extent cx="5268595" cy="5384165"/>
            <wp:effectExtent l="0" t="0" r="0" b="0"/>
            <wp:docPr id="6" name="图片 6" descr="研究思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研究思路"/>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268595" cy="5384165"/>
                    </a:xfrm>
                    <a:prstGeom prst="rect">
                      <a:avLst/>
                    </a:prstGeom>
                  </pic:spPr>
                </pic:pic>
              </a:graphicData>
            </a:graphic>
          </wp:inline>
        </w:drawing>
      </w:r>
      <w:r>
        <w:rPr>
          <w:rFonts w:hint="eastAsia"/>
          <w:lang w:val="en-US" w:eastAsia="zh-CN"/>
        </w:rPr>
        <w:t>图1  研究思维路线图</w:t>
      </w:r>
    </w:p>
    <w:p w14:paraId="77B4F666">
      <w:pPr>
        <w:pStyle w:val="4"/>
        <w:numPr>
          <w:ilvl w:val="0"/>
          <w:numId w:val="1"/>
        </w:numPr>
        <w:bidi w:val="0"/>
        <w:rPr>
          <w:rFonts w:hint="default"/>
          <w:lang w:val="en-US" w:eastAsia="zh-CN"/>
        </w:rPr>
      </w:pPr>
      <w:r>
        <w:rPr>
          <w:rFonts w:hint="eastAsia"/>
          <w:lang w:val="en-US" w:eastAsia="zh-CN"/>
        </w:rPr>
        <w:t>LSTM-复杂网络模型指标体系</w:t>
      </w:r>
    </w:p>
    <w:p w14:paraId="45DB6785">
      <w:pPr>
        <w:pStyle w:val="5"/>
        <w:numPr>
          <w:ilvl w:val="0"/>
          <w:numId w:val="6"/>
        </w:numPr>
        <w:bidi w:val="0"/>
        <w:ind w:left="-643" w:leftChars="0" w:firstLineChars="0"/>
        <w:rPr>
          <w:rFonts w:hint="eastAsia"/>
          <w:lang w:val="en-US" w:eastAsia="zh-CN"/>
        </w:rPr>
      </w:pPr>
      <w:r>
        <w:rPr>
          <w:rFonts w:hint="eastAsia"/>
          <w:lang w:val="en-US" w:eastAsia="zh-CN"/>
        </w:rPr>
        <w:t>指标选取</w:t>
      </w:r>
    </w:p>
    <w:p w14:paraId="4B277884">
      <w:pPr>
        <w:bidi w:val="0"/>
        <w:rPr>
          <w:rFonts w:hint="eastAsia"/>
          <w:lang w:val="en-US" w:eastAsia="zh-CN"/>
        </w:rPr>
      </w:pPr>
      <w:r>
        <w:rPr>
          <w:rFonts w:hint="eastAsia"/>
          <w:lang w:val="en-US" w:eastAsia="zh-CN"/>
        </w:rPr>
        <w:t>本文选取的数据主要分为三类：</w:t>
      </w:r>
    </w:p>
    <w:p w14:paraId="512F9777">
      <w:pPr>
        <w:numPr>
          <w:ilvl w:val="0"/>
          <w:numId w:val="7"/>
        </w:numPr>
        <w:rPr>
          <w:rFonts w:hint="eastAsia"/>
          <w:lang w:val="en-US" w:eastAsia="zh-CN"/>
        </w:rPr>
      </w:pPr>
      <w:r>
        <w:rPr>
          <w:rFonts w:hint="eastAsia"/>
          <w:lang w:val="en-US" w:eastAsia="zh-CN"/>
        </w:rPr>
        <w:t>交通流量指标：</w:t>
      </w:r>
      <w:r>
        <w:rPr>
          <w:rFonts w:hint="eastAsia"/>
        </w:rPr>
        <w:t>机动车保有量（万辆）</w:t>
      </w:r>
      <w:r>
        <w:rPr>
          <w:rFonts w:hint="eastAsia"/>
          <w:lang w:eastAsia="zh-CN"/>
        </w:rPr>
        <w:t>、</w:t>
      </w:r>
      <w:r>
        <w:rPr>
          <w:rFonts w:hint="eastAsia"/>
        </w:rPr>
        <w:t>新能源汽车数量（万辆）</w:t>
      </w:r>
      <w:r>
        <w:rPr>
          <w:rFonts w:hint="eastAsia"/>
          <w:lang w:eastAsia="zh-CN"/>
        </w:rPr>
        <w:t>、</w:t>
      </w:r>
      <w:r>
        <w:rPr>
          <w:rFonts w:hint="eastAsia"/>
        </w:rPr>
        <w:t>地铁条数（条）</w:t>
      </w:r>
      <w:r>
        <w:rPr>
          <w:rFonts w:hint="eastAsia"/>
          <w:lang w:eastAsia="zh-CN"/>
        </w:rPr>
        <w:t>、</w:t>
      </w:r>
      <w:r>
        <w:rPr>
          <w:rFonts w:hint="eastAsia"/>
        </w:rPr>
        <w:t>地铁年日均客流（万人）</w:t>
      </w:r>
      <w:r>
        <w:rPr>
          <w:rFonts w:hint="eastAsia"/>
          <w:lang w:eastAsia="zh-CN"/>
        </w:rPr>
        <w:t>、</w:t>
      </w:r>
      <w:r>
        <w:rPr>
          <w:rFonts w:hint="eastAsia"/>
        </w:rPr>
        <w:t>公交年日均客流量（万人）</w:t>
      </w:r>
      <w:r>
        <w:rPr>
          <w:rFonts w:hint="eastAsia"/>
          <w:lang w:val="en-US" w:eastAsia="zh-CN"/>
        </w:rPr>
        <w:t>.如下表：</w:t>
      </w:r>
    </w:p>
    <w:p w14:paraId="4C5A1B9B">
      <w:pPr>
        <w:pStyle w:val="12"/>
        <w:bidi w:val="0"/>
        <w:jc w:val="center"/>
        <w:rPr>
          <w:rFonts w:hint="eastAsia"/>
          <w:lang w:val="en-US" w:eastAsia="zh-CN"/>
        </w:rPr>
      </w:pPr>
      <w:r>
        <w:rPr>
          <w:rFonts w:hint="eastAsia"/>
          <w:lang w:val="en-US" w:eastAsia="zh-CN"/>
        </w:rPr>
        <w:t>表1 交通流量指标数据</w:t>
      </w:r>
    </w:p>
    <w:tbl>
      <w:tblPr>
        <w:tblStyle w:val="18"/>
        <w:tblW w:w="8277" w:type="dxa"/>
        <w:jc w:val="center"/>
        <w:tblLayout w:type="fixed"/>
        <w:tblCellMar>
          <w:top w:w="0" w:type="dxa"/>
          <w:left w:w="108" w:type="dxa"/>
          <w:bottom w:w="0" w:type="dxa"/>
          <w:right w:w="108" w:type="dxa"/>
        </w:tblCellMar>
      </w:tblPr>
      <w:tblGrid>
        <w:gridCol w:w="1048"/>
        <w:gridCol w:w="1710"/>
        <w:gridCol w:w="1379"/>
        <w:gridCol w:w="1379"/>
        <w:gridCol w:w="1379"/>
        <w:gridCol w:w="1382"/>
      </w:tblGrid>
      <w:tr w14:paraId="794EFD61">
        <w:tblPrEx>
          <w:tblCellMar>
            <w:top w:w="0" w:type="dxa"/>
            <w:left w:w="108" w:type="dxa"/>
            <w:bottom w:w="0" w:type="dxa"/>
            <w:right w:w="108" w:type="dxa"/>
          </w:tblCellMar>
        </w:tblPrEx>
        <w:trPr>
          <w:trHeight w:val="912" w:hRule="atLeast"/>
          <w:jc w:val="center"/>
        </w:trPr>
        <w:tc>
          <w:tcPr>
            <w:tcW w:w="1048" w:type="dxa"/>
            <w:tcBorders>
              <w:top w:val="single" w:color="000000" w:themeColor="dark1" w:sz="12" w:space="0"/>
              <w:left w:val="nil"/>
              <w:bottom w:val="single" w:color="000000" w:themeColor="dark1" w:sz="6" w:space="0"/>
              <w:right w:val="nil"/>
              <w:insideV w:val="single" w:sz="4" w:space="0"/>
            </w:tcBorders>
            <w:shd w:val="clear" w:color="auto" w:fill="FFFFFF"/>
            <w:vAlign w:val="center"/>
          </w:tcPr>
          <w:p w14:paraId="021C056C">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default"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年份</w:t>
            </w:r>
          </w:p>
        </w:tc>
        <w:tc>
          <w:tcPr>
            <w:tcW w:w="1710" w:type="dxa"/>
            <w:tcBorders>
              <w:top w:val="single" w:color="000000" w:themeColor="dark1" w:sz="12" w:space="0"/>
              <w:left w:val="nil"/>
              <w:bottom w:val="single" w:color="000000" w:themeColor="dark1" w:sz="6" w:space="0"/>
              <w:right w:val="nil"/>
            </w:tcBorders>
            <w:shd w:val="clear" w:color="auto" w:fill="FFFFFF"/>
            <w:vAlign w:val="center"/>
          </w:tcPr>
          <w:p w14:paraId="64DAEBC5">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default"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机动车保有量（万量）</w:t>
            </w:r>
          </w:p>
        </w:tc>
        <w:tc>
          <w:tcPr>
            <w:tcW w:w="1379" w:type="dxa"/>
            <w:tcBorders>
              <w:top w:val="single" w:color="000000" w:themeColor="dark1" w:sz="12" w:space="0"/>
              <w:left w:val="nil"/>
              <w:bottom w:val="single" w:color="000000" w:themeColor="dark1" w:sz="6" w:space="0"/>
              <w:right w:val="nil"/>
            </w:tcBorders>
            <w:shd w:val="clear" w:color="auto" w:fill="FFFFFF"/>
            <w:vAlign w:val="center"/>
          </w:tcPr>
          <w:p w14:paraId="49F35D3A">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default"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新能源汽车数量（万辆）</w:t>
            </w:r>
          </w:p>
        </w:tc>
        <w:tc>
          <w:tcPr>
            <w:tcW w:w="1379" w:type="dxa"/>
            <w:tcBorders>
              <w:top w:val="single" w:color="000000" w:themeColor="dark1" w:sz="12" w:space="0"/>
              <w:left w:val="nil"/>
              <w:bottom w:val="single" w:color="000000" w:themeColor="dark1" w:sz="6" w:space="0"/>
              <w:right w:val="nil"/>
            </w:tcBorders>
            <w:shd w:val="clear" w:color="auto" w:fill="FFFFFF"/>
            <w:vAlign w:val="center"/>
          </w:tcPr>
          <w:p w14:paraId="459FB820">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default"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地铁条数（条）</w:t>
            </w:r>
          </w:p>
        </w:tc>
        <w:tc>
          <w:tcPr>
            <w:tcW w:w="1379" w:type="dxa"/>
            <w:tcBorders>
              <w:top w:val="single" w:color="000000" w:themeColor="dark1" w:sz="12" w:space="0"/>
              <w:left w:val="nil"/>
              <w:bottom w:val="single" w:color="000000" w:themeColor="dark1" w:sz="6" w:space="0"/>
              <w:right w:val="nil"/>
            </w:tcBorders>
            <w:shd w:val="clear" w:color="auto" w:fill="FFFFFF"/>
            <w:vAlign w:val="center"/>
          </w:tcPr>
          <w:p w14:paraId="64100F2D">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地铁年日均客流（万人）</w:t>
            </w:r>
          </w:p>
        </w:tc>
        <w:tc>
          <w:tcPr>
            <w:tcW w:w="1382" w:type="dxa"/>
            <w:tcBorders>
              <w:top w:val="single" w:color="000000" w:themeColor="dark1" w:sz="12" w:space="0"/>
              <w:left w:val="nil"/>
              <w:bottom w:val="single" w:color="000000" w:themeColor="dark1" w:sz="6" w:space="0"/>
              <w:right w:val="nil"/>
            </w:tcBorders>
            <w:shd w:val="clear" w:color="auto" w:fill="FFFFFF"/>
            <w:vAlign w:val="center"/>
          </w:tcPr>
          <w:p w14:paraId="1E1777A2">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公交年日均客流量（万人）</w:t>
            </w:r>
          </w:p>
        </w:tc>
      </w:tr>
      <w:tr w14:paraId="0B213409">
        <w:tblPrEx>
          <w:tblCellMar>
            <w:top w:w="0" w:type="dxa"/>
            <w:left w:w="108" w:type="dxa"/>
            <w:bottom w:w="0" w:type="dxa"/>
            <w:right w:w="108" w:type="dxa"/>
          </w:tblCellMar>
        </w:tblPrEx>
        <w:trPr>
          <w:trHeight w:val="606" w:hRule="atLeast"/>
          <w:jc w:val="center"/>
        </w:trPr>
        <w:tc>
          <w:tcPr>
            <w:tcW w:w="1048" w:type="dxa"/>
            <w:tcBorders>
              <w:top w:val="single" w:color="000000" w:themeColor="dark1" w:sz="6" w:space="0"/>
              <w:left w:val="nil"/>
              <w:bottom w:val="nil"/>
              <w:right w:val="nil"/>
              <w:insideV w:val="single" w:sz="4" w:space="0"/>
            </w:tcBorders>
            <w:shd w:val="clear" w:color="auto" w:fill="FFFFFF"/>
            <w:vAlign w:val="center"/>
          </w:tcPr>
          <w:p w14:paraId="2363D870">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default"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2019</w:t>
            </w:r>
          </w:p>
        </w:tc>
        <w:tc>
          <w:tcPr>
            <w:tcW w:w="1710" w:type="dxa"/>
            <w:tcBorders>
              <w:top w:val="single" w:color="000000" w:themeColor="dark1" w:sz="6" w:space="0"/>
              <w:left w:val="nil"/>
              <w:bottom w:val="nil"/>
              <w:right w:val="nil"/>
            </w:tcBorders>
            <w:shd w:val="clear" w:color="auto" w:fill="FFFFFF"/>
            <w:vAlign w:val="center"/>
          </w:tcPr>
          <w:p w14:paraId="191CC8E2">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default"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359.42</w:t>
            </w:r>
          </w:p>
        </w:tc>
        <w:tc>
          <w:tcPr>
            <w:tcW w:w="1379" w:type="dxa"/>
            <w:tcBorders>
              <w:top w:val="single" w:color="000000" w:themeColor="dark1" w:sz="6" w:space="0"/>
              <w:left w:val="nil"/>
              <w:bottom w:val="nil"/>
              <w:right w:val="nil"/>
            </w:tcBorders>
            <w:shd w:val="clear" w:color="auto" w:fill="FFFFFF"/>
            <w:vAlign w:val="center"/>
          </w:tcPr>
          <w:p w14:paraId="27A7B460">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default"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w:t>
            </w:r>
          </w:p>
        </w:tc>
        <w:tc>
          <w:tcPr>
            <w:tcW w:w="1379" w:type="dxa"/>
            <w:tcBorders>
              <w:top w:val="single" w:color="000000" w:themeColor="dark1" w:sz="6" w:space="0"/>
              <w:left w:val="nil"/>
              <w:bottom w:val="nil"/>
              <w:right w:val="nil"/>
            </w:tcBorders>
            <w:shd w:val="clear" w:color="auto" w:fill="FFFFFF"/>
            <w:vAlign w:val="center"/>
          </w:tcPr>
          <w:p w14:paraId="20902C0E">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default"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5</w:t>
            </w:r>
          </w:p>
        </w:tc>
        <w:tc>
          <w:tcPr>
            <w:tcW w:w="1379" w:type="dxa"/>
            <w:tcBorders>
              <w:top w:val="single" w:color="000000" w:themeColor="dark1" w:sz="6" w:space="0"/>
              <w:left w:val="nil"/>
              <w:bottom w:val="nil"/>
              <w:right w:val="nil"/>
            </w:tcBorders>
            <w:shd w:val="clear" w:color="auto" w:fill="FFFFFF"/>
            <w:vAlign w:val="center"/>
          </w:tcPr>
          <w:p w14:paraId="73BB51FF">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258.99</w:t>
            </w:r>
          </w:p>
        </w:tc>
        <w:tc>
          <w:tcPr>
            <w:tcW w:w="1382" w:type="dxa"/>
            <w:tcBorders>
              <w:top w:val="single" w:color="000000" w:themeColor="dark1" w:sz="6" w:space="0"/>
              <w:left w:val="nil"/>
              <w:bottom w:val="nil"/>
              <w:right w:val="nil"/>
            </w:tcBorders>
            <w:shd w:val="clear" w:color="auto" w:fill="FFFFFF"/>
            <w:vAlign w:val="center"/>
          </w:tcPr>
          <w:p w14:paraId="12DA9264">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384.93</w:t>
            </w:r>
          </w:p>
        </w:tc>
      </w:tr>
      <w:tr w14:paraId="5297A294">
        <w:tblPrEx>
          <w:tblCellMar>
            <w:top w:w="0" w:type="dxa"/>
            <w:left w:w="108" w:type="dxa"/>
            <w:bottom w:w="0" w:type="dxa"/>
            <w:right w:w="108" w:type="dxa"/>
          </w:tblCellMar>
        </w:tblPrEx>
        <w:trPr>
          <w:trHeight w:val="578" w:hRule="atLeast"/>
          <w:jc w:val="center"/>
        </w:trPr>
        <w:tc>
          <w:tcPr>
            <w:tcW w:w="1048" w:type="dxa"/>
            <w:tcBorders>
              <w:top w:val="nil"/>
              <w:left w:val="nil"/>
              <w:bottom w:val="nil"/>
              <w:right w:val="nil"/>
              <w:insideV w:val="single" w:sz="4" w:space="0"/>
            </w:tcBorders>
            <w:shd w:val="clear" w:color="auto" w:fill="FFFFFF"/>
            <w:vAlign w:val="center"/>
          </w:tcPr>
          <w:p w14:paraId="7BBAF772">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default"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2020</w:t>
            </w:r>
          </w:p>
        </w:tc>
        <w:tc>
          <w:tcPr>
            <w:tcW w:w="1710" w:type="dxa"/>
            <w:tcBorders>
              <w:top w:val="nil"/>
              <w:left w:val="nil"/>
              <w:bottom w:val="nil"/>
              <w:right w:val="nil"/>
            </w:tcBorders>
            <w:shd w:val="clear" w:color="auto" w:fill="FFFFFF"/>
            <w:vAlign w:val="center"/>
          </w:tcPr>
          <w:p w14:paraId="3A177DD0">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default"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398.01</w:t>
            </w:r>
          </w:p>
        </w:tc>
        <w:tc>
          <w:tcPr>
            <w:tcW w:w="1379" w:type="dxa"/>
            <w:tcBorders>
              <w:top w:val="nil"/>
              <w:left w:val="nil"/>
              <w:bottom w:val="nil"/>
              <w:right w:val="nil"/>
            </w:tcBorders>
            <w:shd w:val="clear" w:color="auto" w:fill="FFFFFF"/>
            <w:vAlign w:val="center"/>
          </w:tcPr>
          <w:p w14:paraId="48E0ADCA">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default"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w:t>
            </w:r>
          </w:p>
        </w:tc>
        <w:tc>
          <w:tcPr>
            <w:tcW w:w="1379" w:type="dxa"/>
            <w:tcBorders>
              <w:top w:val="nil"/>
              <w:left w:val="nil"/>
              <w:bottom w:val="nil"/>
              <w:right w:val="nil"/>
            </w:tcBorders>
            <w:shd w:val="clear" w:color="auto" w:fill="FFFFFF"/>
            <w:vAlign w:val="center"/>
          </w:tcPr>
          <w:p w14:paraId="50292566">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default"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8</w:t>
            </w:r>
          </w:p>
        </w:tc>
        <w:tc>
          <w:tcPr>
            <w:tcW w:w="1379" w:type="dxa"/>
            <w:tcBorders>
              <w:top w:val="nil"/>
              <w:left w:val="nil"/>
              <w:bottom w:val="nil"/>
              <w:right w:val="nil"/>
            </w:tcBorders>
            <w:shd w:val="clear" w:color="auto" w:fill="FFFFFF"/>
            <w:vAlign w:val="center"/>
          </w:tcPr>
          <w:p w14:paraId="7F0F32A6">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199.63</w:t>
            </w:r>
          </w:p>
        </w:tc>
        <w:tc>
          <w:tcPr>
            <w:tcW w:w="1382" w:type="dxa"/>
            <w:tcBorders>
              <w:top w:val="nil"/>
              <w:left w:val="nil"/>
              <w:bottom w:val="nil"/>
              <w:right w:val="nil"/>
            </w:tcBorders>
            <w:shd w:val="clear" w:color="auto" w:fill="FFFFFF"/>
            <w:vAlign w:val="center"/>
          </w:tcPr>
          <w:p w14:paraId="0F489886">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220.45</w:t>
            </w:r>
          </w:p>
        </w:tc>
      </w:tr>
      <w:tr w14:paraId="5BDCA560">
        <w:tblPrEx>
          <w:tblCellMar>
            <w:top w:w="0" w:type="dxa"/>
            <w:left w:w="108" w:type="dxa"/>
            <w:bottom w:w="0" w:type="dxa"/>
            <w:right w:w="108" w:type="dxa"/>
          </w:tblCellMar>
        </w:tblPrEx>
        <w:trPr>
          <w:trHeight w:val="578" w:hRule="atLeast"/>
          <w:jc w:val="center"/>
        </w:trPr>
        <w:tc>
          <w:tcPr>
            <w:tcW w:w="1048" w:type="dxa"/>
            <w:tcBorders>
              <w:top w:val="nil"/>
              <w:left w:val="nil"/>
              <w:bottom w:val="nil"/>
              <w:right w:val="nil"/>
              <w:insideV w:val="single" w:sz="4" w:space="0"/>
            </w:tcBorders>
            <w:shd w:val="clear" w:color="auto" w:fill="FFFFFF"/>
            <w:vAlign w:val="center"/>
          </w:tcPr>
          <w:p w14:paraId="451EDA7B">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2021</w:t>
            </w:r>
          </w:p>
        </w:tc>
        <w:tc>
          <w:tcPr>
            <w:tcW w:w="1710" w:type="dxa"/>
            <w:tcBorders>
              <w:top w:val="nil"/>
              <w:left w:val="nil"/>
              <w:bottom w:val="nil"/>
              <w:right w:val="nil"/>
            </w:tcBorders>
            <w:shd w:val="clear" w:color="auto" w:fill="FFFFFF"/>
            <w:vAlign w:val="center"/>
          </w:tcPr>
          <w:p w14:paraId="37700F77">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445.38</w:t>
            </w:r>
          </w:p>
        </w:tc>
        <w:tc>
          <w:tcPr>
            <w:tcW w:w="1379" w:type="dxa"/>
            <w:tcBorders>
              <w:top w:val="nil"/>
              <w:left w:val="nil"/>
              <w:bottom w:val="nil"/>
              <w:right w:val="nil"/>
            </w:tcBorders>
            <w:shd w:val="clear" w:color="auto" w:fill="FFFFFF"/>
            <w:vAlign w:val="center"/>
          </w:tcPr>
          <w:p w14:paraId="5375E502">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15.62</w:t>
            </w:r>
          </w:p>
        </w:tc>
        <w:tc>
          <w:tcPr>
            <w:tcW w:w="1379" w:type="dxa"/>
            <w:tcBorders>
              <w:top w:val="nil"/>
              <w:left w:val="nil"/>
              <w:bottom w:val="nil"/>
              <w:right w:val="nil"/>
            </w:tcBorders>
            <w:shd w:val="clear" w:color="auto" w:fill="FFFFFF"/>
            <w:vAlign w:val="center"/>
          </w:tcPr>
          <w:p w14:paraId="12BBD095">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8</w:t>
            </w:r>
          </w:p>
        </w:tc>
        <w:tc>
          <w:tcPr>
            <w:tcW w:w="1379" w:type="dxa"/>
            <w:tcBorders>
              <w:top w:val="nil"/>
              <w:left w:val="nil"/>
              <w:bottom w:val="nil"/>
              <w:right w:val="nil"/>
            </w:tcBorders>
            <w:shd w:val="clear" w:color="auto" w:fill="FFFFFF"/>
            <w:vAlign w:val="center"/>
          </w:tcPr>
          <w:p w14:paraId="6C316C2B">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281.14</w:t>
            </w:r>
          </w:p>
        </w:tc>
        <w:tc>
          <w:tcPr>
            <w:tcW w:w="1382" w:type="dxa"/>
            <w:tcBorders>
              <w:top w:val="nil"/>
              <w:left w:val="nil"/>
              <w:bottom w:val="nil"/>
              <w:right w:val="nil"/>
            </w:tcBorders>
            <w:shd w:val="clear" w:color="auto" w:fill="FFFFFF"/>
            <w:vAlign w:val="center"/>
          </w:tcPr>
          <w:p w14:paraId="68DECC49">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280.35</w:t>
            </w:r>
          </w:p>
        </w:tc>
      </w:tr>
      <w:tr w14:paraId="4504CD10">
        <w:tblPrEx>
          <w:tblCellMar>
            <w:top w:w="0" w:type="dxa"/>
            <w:left w:w="108" w:type="dxa"/>
            <w:bottom w:w="0" w:type="dxa"/>
            <w:right w:w="108" w:type="dxa"/>
          </w:tblCellMar>
        </w:tblPrEx>
        <w:trPr>
          <w:trHeight w:val="578" w:hRule="atLeast"/>
          <w:jc w:val="center"/>
        </w:trPr>
        <w:tc>
          <w:tcPr>
            <w:tcW w:w="1048" w:type="dxa"/>
            <w:tcBorders>
              <w:top w:val="nil"/>
              <w:left w:val="nil"/>
              <w:bottom w:val="nil"/>
              <w:right w:val="nil"/>
              <w:insideV w:val="single" w:sz="4" w:space="0"/>
            </w:tcBorders>
            <w:shd w:val="clear" w:color="auto" w:fill="FFFFFF"/>
            <w:vAlign w:val="center"/>
          </w:tcPr>
          <w:p w14:paraId="2DC9E65D">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2022</w:t>
            </w:r>
          </w:p>
        </w:tc>
        <w:tc>
          <w:tcPr>
            <w:tcW w:w="1710" w:type="dxa"/>
            <w:tcBorders>
              <w:top w:val="nil"/>
              <w:left w:val="nil"/>
              <w:bottom w:val="nil"/>
              <w:right w:val="nil"/>
            </w:tcBorders>
            <w:shd w:val="clear" w:color="auto" w:fill="FFFFFF"/>
            <w:vAlign w:val="center"/>
          </w:tcPr>
          <w:p w14:paraId="457960DB">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485.45</w:t>
            </w:r>
          </w:p>
        </w:tc>
        <w:tc>
          <w:tcPr>
            <w:tcW w:w="1379" w:type="dxa"/>
            <w:tcBorders>
              <w:top w:val="nil"/>
              <w:left w:val="nil"/>
              <w:bottom w:val="nil"/>
              <w:right w:val="nil"/>
            </w:tcBorders>
            <w:shd w:val="clear" w:color="auto" w:fill="FFFFFF"/>
            <w:vAlign w:val="center"/>
          </w:tcPr>
          <w:p w14:paraId="6365D618">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25.98</w:t>
            </w:r>
          </w:p>
        </w:tc>
        <w:tc>
          <w:tcPr>
            <w:tcW w:w="1379" w:type="dxa"/>
            <w:tcBorders>
              <w:top w:val="nil"/>
              <w:left w:val="nil"/>
              <w:bottom w:val="nil"/>
              <w:right w:val="nil"/>
            </w:tcBorders>
            <w:shd w:val="clear" w:color="auto" w:fill="FFFFFF"/>
            <w:vAlign w:val="center"/>
          </w:tcPr>
          <w:p w14:paraId="4CF0CE03">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8</w:t>
            </w:r>
          </w:p>
        </w:tc>
        <w:tc>
          <w:tcPr>
            <w:tcW w:w="1379" w:type="dxa"/>
            <w:tcBorders>
              <w:top w:val="nil"/>
              <w:left w:val="nil"/>
              <w:bottom w:val="nil"/>
              <w:right w:val="nil"/>
            </w:tcBorders>
            <w:shd w:val="clear" w:color="auto" w:fill="FFFFFF"/>
            <w:vAlign w:val="center"/>
          </w:tcPr>
          <w:p w14:paraId="2E2CBB1A">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224.32</w:t>
            </w:r>
          </w:p>
        </w:tc>
        <w:tc>
          <w:tcPr>
            <w:tcW w:w="1382" w:type="dxa"/>
            <w:tcBorders>
              <w:top w:val="nil"/>
              <w:left w:val="nil"/>
              <w:bottom w:val="nil"/>
              <w:right w:val="nil"/>
            </w:tcBorders>
            <w:shd w:val="clear" w:color="auto" w:fill="FFFFFF"/>
            <w:vAlign w:val="center"/>
          </w:tcPr>
          <w:p w14:paraId="08723486">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157.46</w:t>
            </w:r>
          </w:p>
        </w:tc>
      </w:tr>
      <w:tr w14:paraId="7A07B6C8">
        <w:tblPrEx>
          <w:tblCellMar>
            <w:top w:w="0" w:type="dxa"/>
            <w:left w:w="108" w:type="dxa"/>
            <w:bottom w:w="0" w:type="dxa"/>
            <w:right w:w="108" w:type="dxa"/>
          </w:tblCellMar>
        </w:tblPrEx>
        <w:trPr>
          <w:trHeight w:val="634" w:hRule="atLeast"/>
          <w:jc w:val="center"/>
        </w:trPr>
        <w:tc>
          <w:tcPr>
            <w:tcW w:w="1048" w:type="dxa"/>
            <w:tcBorders>
              <w:top w:val="nil"/>
              <w:left w:val="nil"/>
              <w:bottom w:val="single" w:color="000000" w:themeColor="dark1" w:sz="12" w:space="0"/>
              <w:right w:val="nil"/>
              <w:insideV w:val="single" w:sz="4" w:space="0"/>
            </w:tcBorders>
            <w:shd w:val="clear" w:color="auto" w:fill="FFFFFF"/>
            <w:vAlign w:val="center"/>
          </w:tcPr>
          <w:p w14:paraId="3EF76BC4">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2023</w:t>
            </w:r>
          </w:p>
        </w:tc>
        <w:tc>
          <w:tcPr>
            <w:tcW w:w="1710" w:type="dxa"/>
            <w:tcBorders>
              <w:top w:val="nil"/>
              <w:left w:val="nil"/>
              <w:bottom w:val="single" w:color="000000" w:themeColor="dark1" w:sz="12" w:space="0"/>
              <w:right w:val="nil"/>
            </w:tcBorders>
            <w:shd w:val="clear" w:color="auto" w:fill="FFFFFF"/>
            <w:vAlign w:val="center"/>
          </w:tcPr>
          <w:p w14:paraId="341A9BB9">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529.73</w:t>
            </w:r>
          </w:p>
        </w:tc>
        <w:tc>
          <w:tcPr>
            <w:tcW w:w="1379" w:type="dxa"/>
            <w:tcBorders>
              <w:top w:val="nil"/>
              <w:left w:val="nil"/>
              <w:bottom w:val="single" w:color="000000" w:themeColor="dark1" w:sz="12" w:space="0"/>
              <w:right w:val="nil"/>
            </w:tcBorders>
            <w:shd w:val="clear" w:color="auto" w:fill="FFFFFF"/>
            <w:vAlign w:val="center"/>
          </w:tcPr>
          <w:p w14:paraId="2E0D1352">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41.98</w:t>
            </w:r>
          </w:p>
        </w:tc>
        <w:tc>
          <w:tcPr>
            <w:tcW w:w="1379" w:type="dxa"/>
            <w:tcBorders>
              <w:top w:val="nil"/>
              <w:left w:val="nil"/>
              <w:bottom w:val="single" w:color="000000" w:themeColor="dark1" w:sz="12" w:space="0"/>
              <w:right w:val="nil"/>
            </w:tcBorders>
            <w:shd w:val="clear" w:color="auto" w:fill="FFFFFF"/>
            <w:vAlign w:val="center"/>
          </w:tcPr>
          <w:p w14:paraId="0B2EBE25">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9</w:t>
            </w:r>
          </w:p>
        </w:tc>
        <w:tc>
          <w:tcPr>
            <w:tcW w:w="1379" w:type="dxa"/>
            <w:tcBorders>
              <w:top w:val="nil"/>
              <w:left w:val="nil"/>
              <w:bottom w:val="single" w:color="000000" w:themeColor="dark1" w:sz="12" w:space="0"/>
              <w:right w:val="nil"/>
            </w:tcBorders>
            <w:shd w:val="clear" w:color="auto" w:fill="FFFFFF"/>
            <w:vAlign w:val="center"/>
          </w:tcPr>
          <w:p w14:paraId="11B8C0E8">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353.65</w:t>
            </w:r>
          </w:p>
        </w:tc>
        <w:tc>
          <w:tcPr>
            <w:tcW w:w="1382" w:type="dxa"/>
            <w:tcBorders>
              <w:top w:val="nil"/>
              <w:left w:val="nil"/>
              <w:bottom w:val="single" w:color="000000" w:themeColor="dark1" w:sz="12" w:space="0"/>
              <w:right w:val="nil"/>
            </w:tcBorders>
            <w:shd w:val="clear" w:color="auto" w:fill="FFFFFF"/>
            <w:vAlign w:val="center"/>
          </w:tcPr>
          <w:p w14:paraId="008A346C">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center"/>
              <w:rPr>
                <w:rFonts w:hint="eastAsia" w:ascii="宋体" w:hAnsi="宋体" w:eastAsia="宋体" w:cs="宋体"/>
                <w:i w:val="0"/>
                <w:iCs w:val="0"/>
                <w:caps w:val="0"/>
                <w:color w:val="000000"/>
                <w:w w:val="100"/>
                <w:kern w:val="0"/>
                <w:sz w:val="21"/>
                <w:szCs w:val="21"/>
                <w:u w:val="none"/>
                <w:lang w:val="en-US" w:eastAsia="zh-CN" w:bidi="ar"/>
              </w:rPr>
            </w:pPr>
            <w:r>
              <w:rPr>
                <w:rFonts w:hint="eastAsia" w:ascii="宋体" w:hAnsi="宋体" w:eastAsia="宋体" w:cs="宋体"/>
                <w:i w:val="0"/>
                <w:iCs w:val="0"/>
                <w:caps w:val="0"/>
                <w:color w:val="000000"/>
                <w:w w:val="100"/>
                <w:kern w:val="0"/>
                <w:sz w:val="21"/>
                <w:szCs w:val="21"/>
                <w:u w:val="none"/>
                <w:lang w:val="en-US" w:eastAsia="zh-CN" w:bidi="ar"/>
              </w:rPr>
              <w:t>202.79</w:t>
            </w:r>
          </w:p>
        </w:tc>
      </w:tr>
    </w:tbl>
    <w:p w14:paraId="1F3AFC9F">
      <w:pPr>
        <w:keepNext w:val="0"/>
        <w:keepLines w:val="0"/>
        <w:pageBreakBefore w:val="0"/>
        <w:widowControl w:val="0"/>
        <w:numPr>
          <w:ilvl w:val="0"/>
          <w:numId w:val="7"/>
        </w:numPr>
        <w:kinsoku/>
        <w:wordWrap/>
        <w:overflowPunct/>
        <w:topLinePunct w:val="0"/>
        <w:autoSpaceDE/>
        <w:autoSpaceDN/>
        <w:bidi w:val="0"/>
        <w:adjustRightInd/>
        <w:snapToGrid/>
        <w:spacing w:line="240" w:lineRule="auto"/>
        <w:textAlignment w:val="auto"/>
        <w:rPr>
          <w:rFonts w:hint="default"/>
          <w:lang w:val="en-US" w:eastAsia="zh-CN"/>
        </w:rPr>
      </w:pPr>
      <w:r>
        <w:rPr>
          <w:rFonts w:hint="eastAsia"/>
          <w:lang w:val="en-US" w:eastAsia="zh-CN"/>
        </w:rPr>
        <w:t>西安市地铁交通流量：西安地铁客运量（万人次）、客流强度（万人次/公里）.如下图</w:t>
      </w:r>
    </w:p>
    <w:p w14:paraId="740B1E4A">
      <w:pPr>
        <w:keepNext w:val="0"/>
        <w:keepLines w:val="0"/>
        <w:pageBreakBefore w:val="0"/>
        <w:widowControl w:val="0"/>
        <w:numPr>
          <w:numId w:val="0"/>
        </w:numPr>
        <w:kinsoku/>
        <w:wordWrap/>
        <w:overflowPunct/>
        <w:topLinePunct w:val="0"/>
        <w:autoSpaceDE/>
        <w:autoSpaceDN/>
        <w:bidi w:val="0"/>
        <w:adjustRightInd/>
        <w:snapToGrid/>
        <w:spacing w:line="240" w:lineRule="auto"/>
        <w:jc w:val="center"/>
        <w:textAlignment w:val="auto"/>
      </w:pPr>
      <w:r>
        <w:drawing>
          <wp:inline distT="0" distB="0" distL="114300" distR="114300">
            <wp:extent cx="4042410" cy="1916430"/>
            <wp:effectExtent l="4445" t="4445" r="10795" b="12700"/>
            <wp:docPr id="8"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07B6AEF">
      <w:pPr>
        <w:keepNext w:val="0"/>
        <w:keepLines w:val="0"/>
        <w:pageBreakBefore w:val="0"/>
        <w:widowControl w:val="0"/>
        <w:numPr>
          <w:numId w:val="0"/>
        </w:numPr>
        <w:kinsoku/>
        <w:wordWrap/>
        <w:overflowPunct/>
        <w:topLinePunct w:val="0"/>
        <w:autoSpaceDE/>
        <w:autoSpaceDN/>
        <w:bidi w:val="0"/>
        <w:adjustRightInd/>
        <w:snapToGrid/>
        <w:spacing w:line="240" w:lineRule="auto"/>
        <w:jc w:val="center"/>
        <w:textAlignment w:val="auto"/>
        <w:rPr>
          <w:rFonts w:hint="default"/>
          <w:lang w:val="en-US" w:eastAsia="zh-CN"/>
        </w:rPr>
      </w:pPr>
      <w:r>
        <w:drawing>
          <wp:inline distT="0" distB="0" distL="114300" distR="114300">
            <wp:extent cx="4031615" cy="2251710"/>
            <wp:effectExtent l="4445" t="4445" r="12065" b="10795"/>
            <wp:docPr id="9"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E5EAA26">
      <w:pPr>
        <w:keepNext w:val="0"/>
        <w:keepLines w:val="0"/>
        <w:pageBreakBefore w:val="0"/>
        <w:widowControl w:val="0"/>
        <w:numPr>
          <w:ilvl w:val="0"/>
          <w:numId w:val="7"/>
        </w:numPr>
        <w:kinsoku/>
        <w:wordWrap/>
        <w:overflowPunct/>
        <w:topLinePunct w:val="0"/>
        <w:autoSpaceDE/>
        <w:autoSpaceDN/>
        <w:bidi w:val="0"/>
        <w:adjustRightInd/>
        <w:snapToGrid/>
        <w:spacing w:line="240" w:lineRule="auto"/>
        <w:textAlignment w:val="auto"/>
        <w:rPr>
          <w:rFonts w:hint="default"/>
          <w:lang w:val="en-US" w:eastAsia="zh-CN"/>
        </w:rPr>
      </w:pPr>
      <w:r>
        <w:rPr>
          <w:rFonts w:hint="eastAsia"/>
          <w:lang w:val="en-US" w:eastAsia="zh-CN"/>
        </w:rPr>
        <w:t>环境指标：空气质量指数（AQI）</w:t>
      </w:r>
    </w:p>
    <w:p w14:paraId="6AE7534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lang w:val="en-US" w:eastAsia="zh-CN"/>
        </w:rPr>
      </w:pPr>
      <w:r>
        <w:drawing>
          <wp:inline distT="0" distB="0" distL="114300" distR="114300">
            <wp:extent cx="3926840" cy="2637790"/>
            <wp:effectExtent l="4445" t="4445" r="12065" b="5715"/>
            <wp:docPr id="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6CC6486">
      <w:pPr>
        <w:pStyle w:val="5"/>
        <w:keepNext w:val="0"/>
        <w:keepLines/>
        <w:pageBreakBefore w:val="0"/>
        <w:widowControl w:val="0"/>
        <w:numPr>
          <w:ilvl w:val="0"/>
          <w:numId w:val="6"/>
        </w:numPr>
        <w:kinsoku/>
        <w:wordWrap/>
        <w:overflowPunct/>
        <w:topLinePunct w:val="0"/>
        <w:autoSpaceDE/>
        <w:autoSpaceDN/>
        <w:bidi w:val="0"/>
        <w:adjustRightInd/>
        <w:snapToGrid/>
        <w:ind w:left="-641"/>
        <w:textAlignment w:val="auto"/>
        <w:rPr>
          <w:rFonts w:hint="default"/>
          <w:lang w:val="en-US" w:eastAsia="zh-CN"/>
        </w:rPr>
      </w:pPr>
      <w:r>
        <w:rPr>
          <w:rFonts w:hint="eastAsia"/>
          <w:lang w:val="en-US" w:eastAsia="zh-CN"/>
        </w:rPr>
        <w:t>数据预处理</w:t>
      </w:r>
    </w:p>
    <w:p w14:paraId="13AC6E84">
      <w:pPr>
        <w:pStyle w:val="6"/>
        <w:numPr>
          <w:ilvl w:val="0"/>
          <w:numId w:val="8"/>
        </w:numPr>
        <w:bidi w:val="0"/>
        <w:rPr>
          <w:rFonts w:hint="default"/>
          <w:lang w:val="en-US" w:eastAsia="zh-CN"/>
        </w:rPr>
      </w:pPr>
      <w:r>
        <w:rPr>
          <w:rFonts w:hint="eastAsia"/>
          <w:lang w:val="en-US" w:eastAsia="zh-CN"/>
        </w:rPr>
        <w:t>异常值检测与处理</w:t>
      </w:r>
    </w:p>
    <w:p w14:paraId="2DF5A083">
      <w:pPr>
        <w:bidi w:val="0"/>
        <w:rPr>
          <w:rFonts w:hint="default"/>
          <w:lang w:val="en-US" w:eastAsia="zh-CN"/>
        </w:rPr>
      </w:pPr>
      <w:r>
        <w:rPr>
          <w:rFonts w:hint="default"/>
          <w:lang w:eastAsia="zh-CN"/>
        </w:rPr>
        <w:t>异常值检测是数据预处理的核心环节，对模型的可靠性、泛化能力和实际应用价值具有决定性影响</w:t>
      </w:r>
      <w:r>
        <w:rPr>
          <w:rFonts w:hint="eastAsia"/>
          <w:lang w:eastAsia="zh-CN"/>
        </w:rPr>
        <w:t>，</w:t>
      </w:r>
      <w:r>
        <w:rPr>
          <w:rFonts w:hint="eastAsia"/>
          <w:lang w:val="en-US" w:eastAsia="zh-CN"/>
        </w:rPr>
        <w:t>本文使用箱线图法检测异常值。</w:t>
      </w:r>
    </w:p>
    <w:p w14:paraId="329F06F7">
      <w:pPr>
        <w:spacing w:line="240" w:lineRule="auto"/>
        <w:ind w:left="0" w:leftChars="0" w:firstLine="0" w:firstLineChars="0"/>
        <w:jc w:val="both"/>
        <w:rPr>
          <w:rFonts w:hint="eastAsia"/>
          <w:lang w:val="en-US" w:eastAsia="zh-CN"/>
        </w:rPr>
      </w:pPr>
      <w:r>
        <w:rPr>
          <w:rFonts w:hint="eastAsia"/>
          <w:lang w:val="en-US" w:eastAsia="zh-CN"/>
        </w:rPr>
        <w:drawing>
          <wp:inline distT="0" distB="0" distL="114300" distR="114300">
            <wp:extent cx="5269230" cy="3512820"/>
            <wp:effectExtent l="0" t="0" r="7620" b="1905"/>
            <wp:docPr id="4" name="图片 4" descr="微信图片_2025041311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50413113137"/>
                    <pic:cNvPicPr>
                      <a:picLocks noChangeAspect="1"/>
                    </pic:cNvPicPr>
                  </pic:nvPicPr>
                  <pic:blipFill>
                    <a:blip r:embed="rId11"/>
                    <a:stretch>
                      <a:fillRect/>
                    </a:stretch>
                  </pic:blipFill>
                  <pic:spPr>
                    <a:xfrm>
                      <a:off x="0" y="0"/>
                      <a:ext cx="5269230" cy="3512820"/>
                    </a:xfrm>
                    <a:prstGeom prst="rect">
                      <a:avLst/>
                    </a:prstGeom>
                  </pic:spPr>
                </pic:pic>
              </a:graphicData>
            </a:graphic>
          </wp:inline>
        </w:drawing>
      </w:r>
      <w:r>
        <w:rPr>
          <w:rFonts w:hint="eastAsia"/>
          <w:lang w:val="en-US" w:eastAsia="zh-CN"/>
        </w:rPr>
        <w:drawing>
          <wp:inline distT="0" distB="0" distL="114300" distR="114300">
            <wp:extent cx="5269230" cy="3512820"/>
            <wp:effectExtent l="0" t="0" r="7620" b="1905"/>
            <wp:docPr id="2" name="图片 2" descr="微信图片_20250413113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413113157"/>
                    <pic:cNvPicPr>
                      <a:picLocks noChangeAspect="1"/>
                    </pic:cNvPicPr>
                  </pic:nvPicPr>
                  <pic:blipFill>
                    <a:blip r:embed="rId12"/>
                    <a:stretch>
                      <a:fillRect/>
                    </a:stretch>
                  </pic:blipFill>
                  <pic:spPr>
                    <a:xfrm>
                      <a:off x="0" y="0"/>
                      <a:ext cx="5269230" cy="3512820"/>
                    </a:xfrm>
                    <a:prstGeom prst="rect">
                      <a:avLst/>
                    </a:prstGeom>
                  </pic:spPr>
                </pic:pic>
              </a:graphicData>
            </a:graphic>
          </wp:inline>
        </w:drawing>
      </w:r>
    </w:p>
    <w:p w14:paraId="41B6B720">
      <w:pPr>
        <w:pStyle w:val="12"/>
        <w:bidi w:val="0"/>
        <w:rPr>
          <w:rFonts w:hint="default"/>
          <w:lang w:val="en-US" w:eastAsia="zh-CN"/>
        </w:rPr>
      </w:pPr>
      <w:r>
        <w:rPr>
          <w:rFonts w:hint="eastAsia"/>
          <w:lang w:val="en-US" w:eastAsia="zh-CN"/>
        </w:rPr>
        <w:t>异常值检测图</w:t>
      </w:r>
    </w:p>
    <w:p w14:paraId="74EDEEE8">
      <w:pPr>
        <w:bidi w:val="0"/>
        <w:rPr>
          <w:rFonts w:hint="default"/>
          <w:lang w:val="en-US" w:eastAsia="zh-CN"/>
        </w:rPr>
      </w:pPr>
      <w:r>
        <w:rPr>
          <w:rFonts w:hint="default"/>
          <w:lang w:val="en-US" w:eastAsia="zh-CN"/>
        </w:rPr>
        <w:t>箱线图按月分组显示，西安地铁客流量存在显著季节性特征，夏季和冬季假期的中位数客流量明显高于其他月份。其中，2023年1月和2024年12月的箱体上方出现多个极端高值点，最高达553.4万人次，</w:t>
      </w:r>
      <w:r>
        <w:rPr>
          <w:rFonts w:hint="eastAsia"/>
          <w:lang w:val="en-US" w:eastAsia="zh-CN"/>
        </w:rPr>
        <w:t>是由于春节导致的客流量过高</w:t>
      </w:r>
      <w:r>
        <w:rPr>
          <w:rFonts w:hint="default"/>
          <w:lang w:val="en-US" w:eastAsia="zh-CN"/>
        </w:rPr>
        <w:t>；而2022年10月及12月箱体下方密集的低值异常点74.16万人次</w:t>
      </w:r>
      <w:r>
        <w:rPr>
          <w:rFonts w:hint="eastAsia"/>
          <w:lang w:val="en-US" w:eastAsia="zh-CN"/>
        </w:rPr>
        <w:t>是受疫情影响所致</w:t>
      </w:r>
      <w:r>
        <w:rPr>
          <w:rFonts w:hint="default"/>
          <w:lang w:val="en-US" w:eastAsia="zh-CN"/>
        </w:rPr>
        <w:t>。</w:t>
      </w:r>
      <w:r>
        <w:rPr>
          <w:rFonts w:hint="eastAsia"/>
          <w:lang w:val="en-US" w:eastAsia="zh-CN"/>
        </w:rPr>
        <w:t>本文将因节日所导致的异常值进行保留，对于受疫情影响的异常值使用当年均值进行替换。</w:t>
      </w:r>
    </w:p>
    <w:p w14:paraId="61AEEBE6">
      <w:pPr>
        <w:pStyle w:val="6"/>
        <w:numPr>
          <w:ilvl w:val="0"/>
          <w:numId w:val="8"/>
        </w:numPr>
        <w:bidi w:val="0"/>
        <w:ind w:left="0" w:leftChars="0" w:firstLine="0" w:firstLineChars="0"/>
        <w:rPr>
          <w:rFonts w:hint="default"/>
          <w:lang w:val="en-US" w:eastAsia="zh-CN"/>
        </w:rPr>
      </w:pPr>
      <w:r>
        <w:rPr>
          <w:rFonts w:hint="eastAsia"/>
          <w:lang w:val="en-US" w:eastAsia="zh-CN"/>
        </w:rPr>
        <w:t>缺失值处理</w:t>
      </w:r>
    </w:p>
    <w:p w14:paraId="14A483C0">
      <w:pPr>
        <w:bidi w:val="0"/>
        <w:ind w:left="0" w:leftChars="0" w:firstLine="480" w:firstLineChars="200"/>
        <w:rPr>
          <w:rFonts w:hint="default"/>
          <w:lang w:val="en-US" w:eastAsia="zh-CN"/>
        </w:rPr>
      </w:pPr>
      <w:r>
        <w:rPr>
          <w:rFonts w:hint="eastAsia"/>
          <w:lang w:val="en-US" w:eastAsia="zh-CN"/>
        </w:rPr>
        <w:t>在收集的数据中发现客流强度的数据在2022.10.05、2024.07.10、2024.07.11、2024.07.18、2024.07.19、2024.07.25、2024.07.26、2024.07.29、2024.10.18、2024.10.26、2024.12.05、2024.12.06、2024.12.11等日缺失，但与其关系强烈的客流量无缺失值，通过缺失值附近7天的客流量与客流强度均值比值填补缺失值。</w:t>
      </w:r>
    </w:p>
    <w:tbl>
      <w:tblPr>
        <w:tblStyle w:val="14"/>
        <w:tblW w:w="81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9"/>
        <w:gridCol w:w="1282"/>
        <w:gridCol w:w="1282"/>
        <w:gridCol w:w="1282"/>
        <w:gridCol w:w="1282"/>
        <w:gridCol w:w="1282"/>
      </w:tblGrid>
      <w:tr w14:paraId="6C36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709" w:type="dxa"/>
            <w:tcBorders>
              <w:top w:val="single" w:color="000000" w:sz="12" w:space="0"/>
              <w:left w:val="nil"/>
              <w:bottom w:val="nil"/>
              <w:right w:val="single" w:color="auto" w:sz="4" w:space="0"/>
              <w:tl2br w:val="nil"/>
            </w:tcBorders>
            <w:shd w:val="clear" w:color="auto" w:fill="FFFFFF"/>
          </w:tcPr>
          <w:p w14:paraId="4C0139B5">
            <w:pPr>
              <w:spacing w:line="240" w:lineRule="auto"/>
              <w:ind w:left="0" w:leftChars="0" w:firstLine="0" w:firstLineChars="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日期</w:t>
            </w:r>
          </w:p>
        </w:tc>
        <w:tc>
          <w:tcPr>
            <w:tcW w:w="1282" w:type="dxa"/>
            <w:tcBorders>
              <w:top w:val="single" w:color="000000" w:sz="12" w:space="0"/>
              <w:left w:val="single" w:color="auto" w:sz="4" w:space="0"/>
              <w:bottom w:val="nil"/>
              <w:right w:val="nil"/>
            </w:tcBorders>
            <w:shd w:val="clear" w:color="auto" w:fill="FFFFFF"/>
          </w:tcPr>
          <w:p w14:paraId="22B07172">
            <w:pPr>
              <w:spacing w:line="240" w:lineRule="auto"/>
              <w:ind w:left="0" w:leftChars="0" w:firstLine="0" w:firstLineChars="0"/>
              <w:jc w:val="center"/>
              <w:rPr>
                <w:rFonts w:hint="eastAsia"/>
                <w:b w:val="0"/>
                <w:color w:val="000000"/>
                <w:sz w:val="21"/>
                <w:szCs w:val="21"/>
                <w:vertAlign w:val="baseline"/>
                <w:lang w:val="en-US" w:eastAsia="zh-CN"/>
              </w:rPr>
            </w:pPr>
            <w:r>
              <w:rPr>
                <w:rFonts w:hint="eastAsia"/>
                <w:sz w:val="21"/>
                <w:szCs w:val="21"/>
                <w:lang w:val="en-US" w:eastAsia="zh-CN"/>
              </w:rPr>
              <w:t>2022/10/05</w:t>
            </w:r>
          </w:p>
        </w:tc>
        <w:tc>
          <w:tcPr>
            <w:tcW w:w="1282" w:type="dxa"/>
            <w:tcBorders>
              <w:top w:val="single" w:color="000000" w:sz="12" w:space="0"/>
              <w:left w:val="nil"/>
              <w:bottom w:val="nil"/>
              <w:right w:val="nil"/>
            </w:tcBorders>
            <w:shd w:val="clear" w:color="auto" w:fill="FFFFFF"/>
          </w:tcPr>
          <w:p w14:paraId="4B0ABF82">
            <w:pPr>
              <w:spacing w:line="240" w:lineRule="auto"/>
              <w:ind w:left="0" w:leftChars="0" w:firstLine="0" w:firstLineChars="0"/>
              <w:jc w:val="center"/>
              <w:rPr>
                <w:rFonts w:hint="eastAsia"/>
                <w:b w:val="0"/>
                <w:color w:val="000000"/>
                <w:sz w:val="21"/>
                <w:szCs w:val="21"/>
                <w:vertAlign w:val="baseline"/>
                <w:lang w:val="en-US" w:eastAsia="zh-CN"/>
              </w:rPr>
            </w:pPr>
            <w:r>
              <w:rPr>
                <w:rFonts w:hint="eastAsia"/>
                <w:b w:val="0"/>
                <w:color w:val="000000"/>
                <w:sz w:val="21"/>
                <w:szCs w:val="21"/>
                <w:vertAlign w:val="baseline"/>
                <w:lang w:val="en-US" w:eastAsia="zh-CN"/>
              </w:rPr>
              <w:t>2024/07/10</w:t>
            </w:r>
          </w:p>
        </w:tc>
        <w:tc>
          <w:tcPr>
            <w:tcW w:w="1282" w:type="dxa"/>
            <w:tcBorders>
              <w:top w:val="single" w:color="000000" w:sz="12" w:space="0"/>
              <w:left w:val="nil"/>
              <w:bottom w:val="nil"/>
              <w:right w:val="nil"/>
            </w:tcBorders>
            <w:shd w:val="clear" w:color="auto" w:fill="FFFFFF"/>
          </w:tcPr>
          <w:p w14:paraId="68F000C2">
            <w:pPr>
              <w:spacing w:line="240" w:lineRule="auto"/>
              <w:ind w:left="0" w:leftChars="0" w:firstLine="0" w:firstLineChars="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2024/07/11</w:t>
            </w:r>
          </w:p>
        </w:tc>
        <w:tc>
          <w:tcPr>
            <w:tcW w:w="1282" w:type="dxa"/>
            <w:tcBorders>
              <w:top w:val="single" w:color="000000" w:sz="12" w:space="0"/>
              <w:left w:val="nil"/>
              <w:bottom w:val="nil"/>
              <w:right w:val="nil"/>
            </w:tcBorders>
            <w:shd w:val="clear" w:color="auto" w:fill="FFFFFF"/>
          </w:tcPr>
          <w:p w14:paraId="5AFB69CB">
            <w:pPr>
              <w:spacing w:line="240" w:lineRule="auto"/>
              <w:ind w:left="0" w:leftChars="0" w:firstLine="0" w:firstLineChars="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2024/07/18</w:t>
            </w:r>
          </w:p>
        </w:tc>
        <w:tc>
          <w:tcPr>
            <w:tcW w:w="1282" w:type="dxa"/>
            <w:tcBorders>
              <w:top w:val="single" w:color="000000" w:sz="12" w:space="0"/>
              <w:left w:val="nil"/>
              <w:bottom w:val="nil"/>
              <w:right w:val="nil"/>
            </w:tcBorders>
            <w:shd w:val="clear" w:color="auto" w:fill="FFFFFF"/>
            <w:vAlign w:val="top"/>
          </w:tcPr>
          <w:p w14:paraId="7682C95F">
            <w:pPr>
              <w:spacing w:line="240" w:lineRule="auto"/>
              <w:ind w:left="0" w:leftChars="0" w:firstLine="0" w:firstLineChars="0"/>
              <w:jc w:val="center"/>
              <w:rPr>
                <w:rFonts w:hint="eastAsia" w:eastAsia="宋体" w:asciiTheme="minorAscii" w:hAnsiTheme="minorAscii" w:cstheme="minorBidi"/>
                <w:b w:val="0"/>
                <w:color w:val="000000"/>
                <w:kern w:val="2"/>
                <w:sz w:val="21"/>
                <w:szCs w:val="21"/>
                <w:vertAlign w:val="baseline"/>
                <w:lang w:val="en-US" w:eastAsia="zh-CN" w:bidi="ar-SA"/>
              </w:rPr>
            </w:pPr>
            <w:r>
              <w:rPr>
                <w:rFonts w:hint="eastAsia"/>
                <w:sz w:val="21"/>
                <w:szCs w:val="21"/>
                <w:lang w:val="en-US" w:eastAsia="zh-CN"/>
              </w:rPr>
              <w:t>2024/07/19</w:t>
            </w:r>
          </w:p>
        </w:tc>
      </w:tr>
      <w:tr w14:paraId="6A0DA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709" w:type="dxa"/>
            <w:tcBorders>
              <w:top w:val="nil"/>
              <w:left w:val="nil"/>
              <w:bottom w:val="nil"/>
              <w:right w:val="single" w:color="auto" w:sz="4" w:space="0"/>
            </w:tcBorders>
            <w:shd w:val="clear" w:color="auto" w:fill="FFFFFF"/>
          </w:tcPr>
          <w:p w14:paraId="3299962E">
            <w:pPr>
              <w:spacing w:line="240" w:lineRule="auto"/>
              <w:ind w:left="0" w:leftChars="0" w:firstLine="0" w:firstLineChars="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客流量</w:t>
            </w:r>
          </w:p>
        </w:tc>
        <w:tc>
          <w:tcPr>
            <w:tcW w:w="1282" w:type="dxa"/>
            <w:tcBorders>
              <w:top w:val="nil"/>
              <w:left w:val="single" w:color="auto" w:sz="4" w:space="0"/>
              <w:bottom w:val="nil"/>
              <w:right w:val="nil"/>
            </w:tcBorders>
            <w:shd w:val="clear" w:color="auto" w:fill="FFFFFF"/>
          </w:tcPr>
          <w:p w14:paraId="75935FFD">
            <w:pPr>
              <w:spacing w:line="240" w:lineRule="auto"/>
              <w:ind w:left="0" w:leftChars="0" w:firstLine="0" w:firstLineChars="0"/>
              <w:jc w:val="center"/>
              <w:rPr>
                <w:rFonts w:hint="eastAsia"/>
                <w:b w:val="0"/>
                <w:color w:val="000000"/>
                <w:sz w:val="21"/>
                <w:szCs w:val="21"/>
                <w:vertAlign w:val="baseline"/>
                <w:lang w:val="en-US" w:eastAsia="zh-CN"/>
              </w:rPr>
            </w:pPr>
            <w:r>
              <w:rPr>
                <w:rFonts w:hint="eastAsia"/>
                <w:b w:val="0"/>
                <w:color w:val="000000"/>
                <w:sz w:val="21"/>
                <w:szCs w:val="21"/>
                <w:vertAlign w:val="baseline"/>
                <w:lang w:val="en-US" w:eastAsia="zh-CN"/>
              </w:rPr>
              <w:t>147.45</w:t>
            </w:r>
          </w:p>
        </w:tc>
        <w:tc>
          <w:tcPr>
            <w:tcW w:w="1282" w:type="dxa"/>
            <w:tcBorders>
              <w:top w:val="nil"/>
              <w:left w:val="nil"/>
              <w:bottom w:val="nil"/>
              <w:right w:val="nil"/>
            </w:tcBorders>
            <w:shd w:val="clear" w:color="auto" w:fill="FFFFFF"/>
          </w:tcPr>
          <w:p w14:paraId="63B9B3FB">
            <w:pPr>
              <w:spacing w:line="240" w:lineRule="auto"/>
              <w:ind w:left="0" w:leftChars="0" w:firstLine="0" w:firstLineChars="0"/>
              <w:jc w:val="center"/>
              <w:rPr>
                <w:rFonts w:hint="eastAsia"/>
                <w:b w:val="0"/>
                <w:color w:val="000000"/>
                <w:sz w:val="21"/>
                <w:szCs w:val="21"/>
                <w:vertAlign w:val="baseline"/>
                <w:lang w:val="en-US" w:eastAsia="zh-CN"/>
              </w:rPr>
            </w:pPr>
            <w:r>
              <w:rPr>
                <w:rFonts w:hint="eastAsia"/>
                <w:b w:val="0"/>
                <w:color w:val="000000"/>
                <w:sz w:val="21"/>
                <w:szCs w:val="21"/>
                <w:vertAlign w:val="baseline"/>
                <w:lang w:val="en-US" w:eastAsia="zh-CN"/>
              </w:rPr>
              <w:t>423.3</w:t>
            </w:r>
          </w:p>
        </w:tc>
        <w:tc>
          <w:tcPr>
            <w:tcW w:w="1282" w:type="dxa"/>
            <w:tcBorders>
              <w:top w:val="nil"/>
              <w:left w:val="nil"/>
              <w:bottom w:val="nil"/>
              <w:right w:val="nil"/>
            </w:tcBorders>
            <w:shd w:val="clear" w:color="auto" w:fill="FFFFFF"/>
          </w:tcPr>
          <w:p w14:paraId="08251053">
            <w:pPr>
              <w:spacing w:line="240" w:lineRule="auto"/>
              <w:ind w:left="0" w:leftChars="0" w:firstLine="0" w:firstLineChars="0"/>
              <w:jc w:val="center"/>
              <w:rPr>
                <w:rFonts w:hint="eastAsia"/>
                <w:b w:val="0"/>
                <w:color w:val="000000"/>
                <w:sz w:val="21"/>
                <w:szCs w:val="21"/>
                <w:vertAlign w:val="baseline"/>
                <w:lang w:val="en-US" w:eastAsia="zh-CN"/>
              </w:rPr>
            </w:pPr>
            <w:r>
              <w:rPr>
                <w:rFonts w:hint="eastAsia"/>
                <w:b w:val="0"/>
                <w:color w:val="000000"/>
                <w:sz w:val="21"/>
                <w:szCs w:val="21"/>
                <w:vertAlign w:val="baseline"/>
                <w:lang w:val="en-US" w:eastAsia="zh-CN"/>
              </w:rPr>
              <w:t>436.6</w:t>
            </w:r>
          </w:p>
        </w:tc>
        <w:tc>
          <w:tcPr>
            <w:tcW w:w="1282" w:type="dxa"/>
            <w:tcBorders>
              <w:top w:val="nil"/>
              <w:left w:val="nil"/>
              <w:bottom w:val="nil"/>
              <w:right w:val="nil"/>
            </w:tcBorders>
            <w:shd w:val="clear" w:color="auto" w:fill="FFFFFF"/>
          </w:tcPr>
          <w:p w14:paraId="6B915C4F">
            <w:pPr>
              <w:spacing w:line="240" w:lineRule="auto"/>
              <w:ind w:left="0" w:leftChars="0" w:firstLine="0" w:firstLineChars="0"/>
              <w:jc w:val="center"/>
              <w:rPr>
                <w:rFonts w:hint="eastAsia"/>
                <w:b w:val="0"/>
                <w:color w:val="000000"/>
                <w:sz w:val="21"/>
                <w:szCs w:val="21"/>
                <w:vertAlign w:val="baseline"/>
                <w:lang w:val="en-US" w:eastAsia="zh-CN"/>
              </w:rPr>
            </w:pPr>
            <w:r>
              <w:rPr>
                <w:rFonts w:hint="eastAsia"/>
                <w:b w:val="0"/>
                <w:color w:val="000000"/>
                <w:sz w:val="21"/>
                <w:szCs w:val="21"/>
                <w:vertAlign w:val="baseline"/>
                <w:lang w:val="en-US" w:eastAsia="zh-CN"/>
              </w:rPr>
              <w:t>428.2</w:t>
            </w:r>
          </w:p>
        </w:tc>
        <w:tc>
          <w:tcPr>
            <w:tcW w:w="1282" w:type="dxa"/>
            <w:tcBorders>
              <w:top w:val="nil"/>
              <w:left w:val="nil"/>
              <w:bottom w:val="nil"/>
              <w:right w:val="nil"/>
            </w:tcBorders>
            <w:shd w:val="clear" w:color="auto" w:fill="FFFFFF"/>
            <w:vAlign w:val="top"/>
          </w:tcPr>
          <w:p w14:paraId="761EB9B6">
            <w:pPr>
              <w:spacing w:line="240" w:lineRule="auto"/>
              <w:ind w:left="0" w:leftChars="0" w:firstLine="0" w:firstLineChars="0"/>
              <w:jc w:val="center"/>
              <w:rPr>
                <w:rFonts w:hint="eastAsia" w:eastAsia="宋体" w:asciiTheme="minorAscii" w:hAnsiTheme="minorAscii" w:cstheme="minorBidi"/>
                <w:b w:val="0"/>
                <w:color w:val="000000"/>
                <w:kern w:val="2"/>
                <w:sz w:val="21"/>
                <w:szCs w:val="21"/>
                <w:vertAlign w:val="baseline"/>
                <w:lang w:val="en-US" w:eastAsia="zh-CN" w:bidi="ar-SA"/>
              </w:rPr>
            </w:pPr>
            <w:r>
              <w:rPr>
                <w:rFonts w:hint="eastAsia"/>
                <w:b w:val="0"/>
                <w:color w:val="000000"/>
                <w:sz w:val="21"/>
                <w:szCs w:val="21"/>
                <w:vertAlign w:val="baseline"/>
                <w:lang w:val="en-US" w:eastAsia="zh-CN"/>
              </w:rPr>
              <w:t>409</w:t>
            </w:r>
          </w:p>
        </w:tc>
      </w:tr>
      <w:tr w14:paraId="2BF3B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709" w:type="dxa"/>
            <w:tcBorders>
              <w:top w:val="nil"/>
              <w:left w:val="nil"/>
              <w:bottom w:val="single" w:color="000000" w:sz="12" w:space="0"/>
              <w:right w:val="single" w:color="auto" w:sz="4" w:space="0"/>
            </w:tcBorders>
            <w:shd w:val="clear" w:color="auto" w:fill="FFFFFF"/>
          </w:tcPr>
          <w:p w14:paraId="46197C8B">
            <w:pPr>
              <w:spacing w:line="240" w:lineRule="auto"/>
              <w:ind w:left="0" w:leftChars="0" w:firstLine="0" w:firstLineChars="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客流强度</w:t>
            </w:r>
          </w:p>
        </w:tc>
        <w:tc>
          <w:tcPr>
            <w:tcW w:w="1282" w:type="dxa"/>
            <w:tcBorders>
              <w:top w:val="nil"/>
              <w:left w:val="single" w:color="auto" w:sz="4" w:space="0"/>
              <w:bottom w:val="single" w:color="000000" w:sz="12" w:space="0"/>
              <w:right w:val="nil"/>
            </w:tcBorders>
            <w:shd w:val="clear" w:color="auto" w:fill="FFFFFF"/>
          </w:tcPr>
          <w:p w14:paraId="65E359FF">
            <w:pPr>
              <w:spacing w:line="240" w:lineRule="auto"/>
              <w:ind w:left="0" w:leftChars="0" w:firstLine="0" w:firstLineChars="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0.56</w:t>
            </w:r>
          </w:p>
        </w:tc>
        <w:tc>
          <w:tcPr>
            <w:tcW w:w="1282" w:type="dxa"/>
            <w:tcBorders>
              <w:top w:val="nil"/>
              <w:left w:val="nil"/>
              <w:bottom w:val="single" w:color="000000" w:sz="12" w:space="0"/>
              <w:right w:val="nil"/>
            </w:tcBorders>
            <w:shd w:val="clear" w:color="auto" w:fill="FFFFFF"/>
          </w:tcPr>
          <w:p w14:paraId="0000F3D9">
            <w:pPr>
              <w:spacing w:line="240" w:lineRule="auto"/>
              <w:ind w:left="0" w:leftChars="0" w:firstLine="0" w:firstLineChars="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1.35</w:t>
            </w:r>
          </w:p>
        </w:tc>
        <w:tc>
          <w:tcPr>
            <w:tcW w:w="1282" w:type="dxa"/>
            <w:tcBorders>
              <w:top w:val="nil"/>
              <w:left w:val="nil"/>
              <w:bottom w:val="single" w:color="000000" w:sz="12" w:space="0"/>
              <w:right w:val="nil"/>
            </w:tcBorders>
            <w:shd w:val="clear" w:color="auto" w:fill="FFFFFF"/>
          </w:tcPr>
          <w:p w14:paraId="2347A725">
            <w:pPr>
              <w:spacing w:line="240" w:lineRule="auto"/>
              <w:ind w:left="0" w:leftChars="0" w:firstLine="0" w:firstLineChars="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1.39</w:t>
            </w:r>
          </w:p>
        </w:tc>
        <w:tc>
          <w:tcPr>
            <w:tcW w:w="1282" w:type="dxa"/>
            <w:tcBorders>
              <w:top w:val="nil"/>
              <w:left w:val="nil"/>
              <w:bottom w:val="single" w:color="000000" w:sz="12" w:space="0"/>
              <w:right w:val="nil"/>
            </w:tcBorders>
            <w:shd w:val="clear" w:color="auto" w:fill="FFFFFF"/>
          </w:tcPr>
          <w:p w14:paraId="527B7850">
            <w:pPr>
              <w:spacing w:line="240" w:lineRule="auto"/>
              <w:ind w:left="0" w:leftChars="0" w:firstLine="0" w:firstLineChars="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1.37</w:t>
            </w:r>
          </w:p>
        </w:tc>
        <w:tc>
          <w:tcPr>
            <w:tcW w:w="1282" w:type="dxa"/>
            <w:tcBorders>
              <w:top w:val="nil"/>
              <w:left w:val="nil"/>
              <w:bottom w:val="single" w:color="000000" w:sz="12" w:space="0"/>
              <w:right w:val="nil"/>
            </w:tcBorders>
            <w:shd w:val="clear" w:color="auto" w:fill="FFFFFF"/>
          </w:tcPr>
          <w:p w14:paraId="14A97C4B">
            <w:pPr>
              <w:spacing w:line="240" w:lineRule="auto"/>
              <w:ind w:left="0" w:leftChars="0" w:firstLine="0" w:firstLineChars="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1.31</w:t>
            </w:r>
          </w:p>
        </w:tc>
      </w:tr>
      <w:tr w14:paraId="54CBC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709" w:type="dxa"/>
            <w:tcBorders>
              <w:top w:val="single" w:color="000000" w:sz="12" w:space="0"/>
              <w:left w:val="nil"/>
              <w:bottom w:val="nil"/>
              <w:right w:val="single" w:color="auto" w:sz="4" w:space="0"/>
              <w:tl2br w:val="nil"/>
            </w:tcBorders>
            <w:shd w:val="clear" w:color="auto" w:fill="FFFFFF"/>
          </w:tcPr>
          <w:p w14:paraId="45781498">
            <w:pPr>
              <w:spacing w:line="240" w:lineRule="auto"/>
              <w:ind w:left="0" w:leftChars="0" w:firstLine="0" w:firstLineChars="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日期</w:t>
            </w:r>
          </w:p>
        </w:tc>
        <w:tc>
          <w:tcPr>
            <w:tcW w:w="1282" w:type="dxa"/>
            <w:tcBorders>
              <w:top w:val="single" w:color="000000" w:sz="12" w:space="0"/>
              <w:left w:val="single" w:color="auto" w:sz="4" w:space="0"/>
              <w:bottom w:val="nil"/>
              <w:right w:val="nil"/>
            </w:tcBorders>
            <w:shd w:val="clear" w:color="auto" w:fill="FFFFFF"/>
            <w:vAlign w:val="top"/>
          </w:tcPr>
          <w:p w14:paraId="4F52E740">
            <w:pPr>
              <w:spacing w:line="240" w:lineRule="auto"/>
              <w:ind w:left="0" w:leftChars="0" w:firstLine="0" w:firstLineChars="0"/>
              <w:jc w:val="center"/>
              <w:rPr>
                <w:rFonts w:hint="default" w:eastAsia="宋体" w:asciiTheme="minorAscii" w:hAnsiTheme="minorAscii" w:cstheme="minorBidi"/>
                <w:b w:val="0"/>
                <w:color w:val="000000"/>
                <w:kern w:val="2"/>
                <w:sz w:val="21"/>
                <w:szCs w:val="21"/>
                <w:vertAlign w:val="baseline"/>
                <w:lang w:val="en-US" w:eastAsia="zh-CN" w:bidi="ar-SA"/>
              </w:rPr>
            </w:pPr>
            <w:r>
              <w:rPr>
                <w:rFonts w:hint="eastAsia"/>
                <w:b w:val="0"/>
                <w:color w:val="000000"/>
                <w:sz w:val="21"/>
                <w:szCs w:val="21"/>
                <w:vertAlign w:val="baseline"/>
                <w:lang w:val="en-US" w:eastAsia="zh-CN"/>
              </w:rPr>
              <w:t>2024/07/25</w:t>
            </w:r>
          </w:p>
        </w:tc>
        <w:tc>
          <w:tcPr>
            <w:tcW w:w="1282" w:type="dxa"/>
            <w:tcBorders>
              <w:top w:val="single" w:color="000000" w:sz="12" w:space="0"/>
              <w:left w:val="nil"/>
              <w:bottom w:val="nil"/>
              <w:right w:val="nil"/>
            </w:tcBorders>
            <w:shd w:val="clear" w:color="auto" w:fill="FFFFFF"/>
            <w:vAlign w:val="top"/>
          </w:tcPr>
          <w:p w14:paraId="31DA887B">
            <w:pPr>
              <w:spacing w:line="240" w:lineRule="auto"/>
              <w:ind w:left="0" w:leftChars="0" w:firstLine="0" w:firstLineChars="0"/>
              <w:jc w:val="center"/>
              <w:rPr>
                <w:rFonts w:hint="default" w:eastAsia="宋体" w:asciiTheme="minorAscii" w:hAnsiTheme="minorAscii" w:cstheme="minorBidi"/>
                <w:b w:val="0"/>
                <w:color w:val="000000"/>
                <w:kern w:val="2"/>
                <w:sz w:val="21"/>
                <w:szCs w:val="21"/>
                <w:vertAlign w:val="baseline"/>
                <w:lang w:val="en-US" w:eastAsia="zh-CN" w:bidi="ar-SA"/>
              </w:rPr>
            </w:pPr>
            <w:r>
              <w:rPr>
                <w:rFonts w:hint="eastAsia"/>
                <w:b w:val="0"/>
                <w:color w:val="000000"/>
                <w:sz w:val="21"/>
                <w:szCs w:val="21"/>
                <w:vertAlign w:val="baseline"/>
                <w:lang w:val="en-US" w:eastAsia="zh-CN"/>
              </w:rPr>
              <w:t>2024/07/26</w:t>
            </w:r>
          </w:p>
        </w:tc>
        <w:tc>
          <w:tcPr>
            <w:tcW w:w="1282" w:type="dxa"/>
            <w:tcBorders>
              <w:top w:val="single" w:color="000000" w:sz="12" w:space="0"/>
              <w:left w:val="nil"/>
              <w:bottom w:val="nil"/>
              <w:right w:val="nil"/>
            </w:tcBorders>
            <w:shd w:val="clear" w:color="auto" w:fill="FFFFFF"/>
            <w:vAlign w:val="top"/>
          </w:tcPr>
          <w:p w14:paraId="6C9F63F5">
            <w:pPr>
              <w:spacing w:line="240" w:lineRule="auto"/>
              <w:ind w:left="0" w:leftChars="0" w:firstLine="0" w:firstLineChars="0"/>
              <w:jc w:val="center"/>
              <w:rPr>
                <w:rFonts w:hint="default" w:eastAsia="宋体" w:asciiTheme="minorAscii" w:hAnsiTheme="minorAscii" w:cstheme="minorBidi"/>
                <w:b w:val="0"/>
                <w:color w:val="000000"/>
                <w:kern w:val="2"/>
                <w:sz w:val="21"/>
                <w:szCs w:val="21"/>
                <w:vertAlign w:val="baseline"/>
                <w:lang w:val="en-US" w:eastAsia="zh-CN" w:bidi="ar-SA"/>
              </w:rPr>
            </w:pPr>
            <w:r>
              <w:rPr>
                <w:rFonts w:hint="eastAsia"/>
                <w:b w:val="0"/>
                <w:color w:val="000000"/>
                <w:sz w:val="21"/>
                <w:szCs w:val="21"/>
                <w:vertAlign w:val="baseline"/>
                <w:lang w:val="en-US" w:eastAsia="zh-CN"/>
              </w:rPr>
              <w:t>2024/07/29</w:t>
            </w:r>
          </w:p>
        </w:tc>
        <w:tc>
          <w:tcPr>
            <w:tcW w:w="1282" w:type="dxa"/>
            <w:tcBorders>
              <w:top w:val="single" w:color="000000" w:sz="12" w:space="0"/>
              <w:left w:val="nil"/>
              <w:bottom w:val="nil"/>
              <w:right w:val="nil"/>
            </w:tcBorders>
            <w:shd w:val="clear" w:color="auto" w:fill="FFFFFF"/>
          </w:tcPr>
          <w:p w14:paraId="199F0CE8">
            <w:pPr>
              <w:spacing w:line="240" w:lineRule="auto"/>
              <w:ind w:left="0" w:leftChars="0" w:firstLine="0" w:firstLineChars="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2024/10/18</w:t>
            </w:r>
          </w:p>
        </w:tc>
        <w:tc>
          <w:tcPr>
            <w:tcW w:w="1282" w:type="dxa"/>
            <w:tcBorders>
              <w:top w:val="single" w:color="000000" w:sz="12" w:space="0"/>
              <w:left w:val="nil"/>
              <w:bottom w:val="nil"/>
              <w:right w:val="nil"/>
            </w:tcBorders>
            <w:shd w:val="clear" w:color="auto" w:fill="FFFFFF"/>
          </w:tcPr>
          <w:p w14:paraId="5E360C73">
            <w:pPr>
              <w:spacing w:line="240" w:lineRule="auto"/>
              <w:ind w:left="0" w:leftChars="0" w:firstLine="0" w:firstLineChars="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2024/10/26</w:t>
            </w:r>
          </w:p>
        </w:tc>
      </w:tr>
      <w:tr w14:paraId="0A1EB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709" w:type="dxa"/>
            <w:tcBorders>
              <w:top w:val="nil"/>
              <w:left w:val="nil"/>
              <w:bottom w:val="nil"/>
              <w:right w:val="single" w:color="auto" w:sz="4" w:space="0"/>
            </w:tcBorders>
            <w:shd w:val="clear" w:color="auto" w:fill="FFFFFF"/>
          </w:tcPr>
          <w:p w14:paraId="7985FE06">
            <w:pPr>
              <w:spacing w:line="240" w:lineRule="auto"/>
              <w:ind w:left="0" w:leftChars="0" w:firstLine="0" w:firstLineChars="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客流量</w:t>
            </w:r>
          </w:p>
        </w:tc>
        <w:tc>
          <w:tcPr>
            <w:tcW w:w="1282" w:type="dxa"/>
            <w:tcBorders>
              <w:top w:val="nil"/>
              <w:left w:val="single" w:color="auto" w:sz="4" w:space="0"/>
              <w:bottom w:val="nil"/>
              <w:right w:val="nil"/>
            </w:tcBorders>
            <w:shd w:val="clear" w:color="auto" w:fill="FFFFFF"/>
            <w:vAlign w:val="top"/>
          </w:tcPr>
          <w:p w14:paraId="61268944">
            <w:pPr>
              <w:spacing w:line="240" w:lineRule="auto"/>
              <w:ind w:left="0" w:leftChars="0" w:firstLine="0" w:firstLineChars="0"/>
              <w:jc w:val="center"/>
              <w:rPr>
                <w:rFonts w:hint="eastAsia" w:eastAsia="宋体" w:asciiTheme="minorAscii" w:hAnsiTheme="minorAscii" w:cstheme="minorBidi"/>
                <w:b w:val="0"/>
                <w:color w:val="000000"/>
                <w:kern w:val="2"/>
                <w:sz w:val="21"/>
                <w:szCs w:val="21"/>
                <w:vertAlign w:val="baseline"/>
                <w:lang w:val="en-US" w:eastAsia="zh-CN" w:bidi="ar-SA"/>
              </w:rPr>
            </w:pPr>
            <w:r>
              <w:rPr>
                <w:rFonts w:hint="eastAsia"/>
                <w:b w:val="0"/>
                <w:color w:val="000000"/>
                <w:sz w:val="21"/>
                <w:szCs w:val="21"/>
                <w:vertAlign w:val="baseline"/>
                <w:lang w:val="en-US" w:eastAsia="zh-CN"/>
              </w:rPr>
              <w:t>408.8</w:t>
            </w:r>
          </w:p>
        </w:tc>
        <w:tc>
          <w:tcPr>
            <w:tcW w:w="1282" w:type="dxa"/>
            <w:tcBorders>
              <w:top w:val="nil"/>
              <w:left w:val="nil"/>
              <w:bottom w:val="nil"/>
              <w:right w:val="nil"/>
            </w:tcBorders>
            <w:shd w:val="clear" w:color="auto" w:fill="FFFFFF"/>
            <w:vAlign w:val="top"/>
          </w:tcPr>
          <w:p w14:paraId="483C789C">
            <w:pPr>
              <w:spacing w:line="240" w:lineRule="auto"/>
              <w:ind w:left="0" w:leftChars="0" w:firstLine="0" w:firstLineChars="0"/>
              <w:jc w:val="center"/>
              <w:rPr>
                <w:rFonts w:hint="eastAsia" w:eastAsia="宋体" w:asciiTheme="minorAscii" w:hAnsiTheme="minorAscii" w:cstheme="minorBidi"/>
                <w:b w:val="0"/>
                <w:color w:val="000000"/>
                <w:kern w:val="2"/>
                <w:sz w:val="21"/>
                <w:szCs w:val="21"/>
                <w:vertAlign w:val="baseline"/>
                <w:lang w:val="en-US" w:eastAsia="zh-CN" w:bidi="ar-SA"/>
              </w:rPr>
            </w:pPr>
            <w:r>
              <w:rPr>
                <w:rFonts w:hint="eastAsia"/>
                <w:b w:val="0"/>
                <w:color w:val="000000"/>
                <w:sz w:val="21"/>
                <w:szCs w:val="21"/>
                <w:vertAlign w:val="baseline"/>
                <w:lang w:val="en-US" w:eastAsia="zh-CN"/>
              </w:rPr>
              <w:t>430.2</w:t>
            </w:r>
          </w:p>
        </w:tc>
        <w:tc>
          <w:tcPr>
            <w:tcW w:w="1282" w:type="dxa"/>
            <w:tcBorders>
              <w:top w:val="nil"/>
              <w:left w:val="nil"/>
              <w:bottom w:val="nil"/>
              <w:right w:val="nil"/>
            </w:tcBorders>
            <w:shd w:val="clear" w:color="auto" w:fill="FFFFFF"/>
            <w:vAlign w:val="top"/>
          </w:tcPr>
          <w:p w14:paraId="67AE96D3">
            <w:pPr>
              <w:spacing w:line="240" w:lineRule="auto"/>
              <w:ind w:left="0" w:leftChars="0" w:firstLine="0" w:firstLineChars="0"/>
              <w:jc w:val="center"/>
              <w:rPr>
                <w:rFonts w:hint="eastAsia" w:eastAsia="宋体" w:asciiTheme="minorAscii" w:hAnsiTheme="minorAscii" w:cstheme="minorBidi"/>
                <w:b w:val="0"/>
                <w:color w:val="000000"/>
                <w:kern w:val="2"/>
                <w:sz w:val="21"/>
                <w:szCs w:val="21"/>
                <w:vertAlign w:val="baseline"/>
                <w:lang w:val="en-US" w:eastAsia="zh-CN" w:bidi="ar-SA"/>
              </w:rPr>
            </w:pPr>
            <w:r>
              <w:rPr>
                <w:rFonts w:hint="eastAsia"/>
                <w:b w:val="0"/>
                <w:color w:val="000000"/>
                <w:sz w:val="21"/>
                <w:szCs w:val="21"/>
                <w:vertAlign w:val="baseline"/>
                <w:lang w:val="en-US" w:eastAsia="zh-CN"/>
              </w:rPr>
              <w:t>384.4</w:t>
            </w:r>
          </w:p>
        </w:tc>
        <w:tc>
          <w:tcPr>
            <w:tcW w:w="1282" w:type="dxa"/>
            <w:tcBorders>
              <w:top w:val="nil"/>
              <w:left w:val="nil"/>
              <w:bottom w:val="nil"/>
              <w:right w:val="nil"/>
            </w:tcBorders>
            <w:shd w:val="clear" w:color="auto" w:fill="FFFFFF"/>
          </w:tcPr>
          <w:p w14:paraId="7A023A49">
            <w:pPr>
              <w:spacing w:line="240" w:lineRule="auto"/>
              <w:ind w:left="0" w:leftChars="0" w:firstLine="0" w:firstLineChars="0"/>
              <w:jc w:val="center"/>
              <w:rPr>
                <w:rFonts w:hint="eastAsia"/>
                <w:b w:val="0"/>
                <w:color w:val="000000"/>
                <w:sz w:val="21"/>
                <w:szCs w:val="21"/>
                <w:vertAlign w:val="baseline"/>
                <w:lang w:val="en-US" w:eastAsia="zh-CN"/>
              </w:rPr>
            </w:pPr>
            <w:r>
              <w:rPr>
                <w:rFonts w:hint="eastAsia"/>
                <w:b w:val="0"/>
                <w:color w:val="000000"/>
                <w:sz w:val="21"/>
                <w:szCs w:val="21"/>
                <w:vertAlign w:val="baseline"/>
                <w:lang w:val="en-US" w:eastAsia="zh-CN"/>
              </w:rPr>
              <w:t>435.7</w:t>
            </w:r>
          </w:p>
        </w:tc>
        <w:tc>
          <w:tcPr>
            <w:tcW w:w="1282" w:type="dxa"/>
            <w:tcBorders>
              <w:top w:val="nil"/>
              <w:left w:val="nil"/>
              <w:bottom w:val="nil"/>
              <w:right w:val="nil"/>
            </w:tcBorders>
            <w:shd w:val="clear" w:color="auto" w:fill="FFFFFF"/>
          </w:tcPr>
          <w:p w14:paraId="73CD6AFD">
            <w:pPr>
              <w:spacing w:line="240" w:lineRule="auto"/>
              <w:ind w:left="0" w:leftChars="0" w:firstLine="0" w:firstLineChars="0"/>
              <w:jc w:val="center"/>
              <w:rPr>
                <w:rFonts w:hint="eastAsia"/>
                <w:b w:val="0"/>
                <w:color w:val="000000"/>
                <w:sz w:val="21"/>
                <w:szCs w:val="21"/>
                <w:vertAlign w:val="baseline"/>
                <w:lang w:val="en-US" w:eastAsia="zh-CN"/>
              </w:rPr>
            </w:pPr>
            <w:r>
              <w:rPr>
                <w:rFonts w:hint="eastAsia"/>
                <w:b w:val="0"/>
                <w:color w:val="000000"/>
                <w:sz w:val="21"/>
                <w:szCs w:val="21"/>
                <w:vertAlign w:val="baseline"/>
                <w:lang w:val="en-US" w:eastAsia="zh-CN"/>
              </w:rPr>
              <w:t>405.4</w:t>
            </w:r>
          </w:p>
        </w:tc>
      </w:tr>
      <w:tr w14:paraId="4FD70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709" w:type="dxa"/>
            <w:tcBorders>
              <w:top w:val="nil"/>
              <w:left w:val="nil"/>
              <w:bottom w:val="single" w:color="000000" w:sz="12" w:space="0"/>
              <w:right w:val="single" w:color="auto" w:sz="4" w:space="0"/>
            </w:tcBorders>
            <w:shd w:val="clear" w:color="auto" w:fill="FFFFFF"/>
          </w:tcPr>
          <w:p w14:paraId="7EC78D7A">
            <w:pPr>
              <w:spacing w:line="240" w:lineRule="auto"/>
              <w:ind w:left="0" w:leftChars="0" w:firstLine="0" w:firstLineChars="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客流强度</w:t>
            </w:r>
          </w:p>
        </w:tc>
        <w:tc>
          <w:tcPr>
            <w:tcW w:w="1282" w:type="dxa"/>
            <w:tcBorders>
              <w:top w:val="nil"/>
              <w:left w:val="single" w:color="auto" w:sz="4" w:space="0"/>
              <w:bottom w:val="single" w:color="000000" w:sz="12" w:space="0"/>
              <w:right w:val="nil"/>
            </w:tcBorders>
            <w:shd w:val="clear" w:color="auto" w:fill="FFFFFF"/>
          </w:tcPr>
          <w:p w14:paraId="67682C7D">
            <w:pPr>
              <w:spacing w:line="240" w:lineRule="auto"/>
              <w:ind w:left="0" w:leftChars="0" w:firstLine="0" w:firstLineChars="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1.3</w:t>
            </w:r>
          </w:p>
        </w:tc>
        <w:tc>
          <w:tcPr>
            <w:tcW w:w="1282" w:type="dxa"/>
            <w:tcBorders>
              <w:top w:val="nil"/>
              <w:left w:val="nil"/>
              <w:bottom w:val="single" w:color="000000" w:sz="12" w:space="0"/>
              <w:right w:val="nil"/>
            </w:tcBorders>
            <w:shd w:val="clear" w:color="auto" w:fill="FFFFFF"/>
          </w:tcPr>
          <w:p w14:paraId="493AE880">
            <w:pPr>
              <w:spacing w:line="240" w:lineRule="auto"/>
              <w:ind w:left="0" w:leftChars="0" w:firstLine="0" w:firstLineChars="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1.37</w:t>
            </w:r>
          </w:p>
        </w:tc>
        <w:tc>
          <w:tcPr>
            <w:tcW w:w="1282" w:type="dxa"/>
            <w:tcBorders>
              <w:top w:val="nil"/>
              <w:left w:val="nil"/>
              <w:bottom w:val="single" w:color="000000" w:sz="12" w:space="0"/>
              <w:right w:val="nil"/>
            </w:tcBorders>
            <w:shd w:val="clear" w:color="auto" w:fill="FFFFFF"/>
          </w:tcPr>
          <w:p w14:paraId="60AD5938">
            <w:pPr>
              <w:spacing w:line="240" w:lineRule="auto"/>
              <w:ind w:left="0" w:leftChars="0" w:firstLine="0" w:firstLineChars="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1.23</w:t>
            </w:r>
          </w:p>
        </w:tc>
        <w:tc>
          <w:tcPr>
            <w:tcW w:w="1282" w:type="dxa"/>
            <w:tcBorders>
              <w:top w:val="nil"/>
              <w:left w:val="nil"/>
              <w:bottom w:val="single" w:color="000000" w:sz="12" w:space="0"/>
              <w:right w:val="nil"/>
            </w:tcBorders>
            <w:shd w:val="clear" w:color="auto" w:fill="FFFFFF"/>
          </w:tcPr>
          <w:p w14:paraId="4FE19A74">
            <w:pPr>
              <w:spacing w:line="240" w:lineRule="auto"/>
              <w:ind w:left="0" w:leftChars="0" w:firstLine="0" w:firstLineChars="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1.23</w:t>
            </w:r>
          </w:p>
        </w:tc>
        <w:tc>
          <w:tcPr>
            <w:tcW w:w="1282" w:type="dxa"/>
            <w:tcBorders>
              <w:top w:val="nil"/>
              <w:left w:val="nil"/>
              <w:bottom w:val="single" w:color="000000" w:sz="12" w:space="0"/>
              <w:right w:val="nil"/>
            </w:tcBorders>
            <w:shd w:val="clear" w:color="auto" w:fill="FFFFFF"/>
          </w:tcPr>
          <w:p w14:paraId="04BF4100">
            <w:pPr>
              <w:spacing w:line="240" w:lineRule="auto"/>
              <w:ind w:left="0" w:leftChars="0" w:firstLine="0" w:firstLineChars="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1.14</w:t>
            </w:r>
          </w:p>
        </w:tc>
      </w:tr>
      <w:tr w14:paraId="57F6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709" w:type="dxa"/>
            <w:tcBorders>
              <w:top w:val="single" w:color="000000" w:sz="12" w:space="0"/>
              <w:left w:val="nil"/>
              <w:bottom w:val="nil"/>
              <w:right w:val="single" w:color="auto" w:sz="4" w:space="0"/>
              <w:tl2br w:val="nil"/>
            </w:tcBorders>
            <w:shd w:val="clear" w:color="auto" w:fill="FFFFFF"/>
          </w:tcPr>
          <w:p w14:paraId="26E06820">
            <w:pPr>
              <w:spacing w:line="240" w:lineRule="auto"/>
              <w:ind w:left="0" w:leftChars="0" w:firstLine="0" w:firstLineChars="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日期</w:t>
            </w:r>
          </w:p>
        </w:tc>
        <w:tc>
          <w:tcPr>
            <w:tcW w:w="1282" w:type="dxa"/>
            <w:tcBorders>
              <w:top w:val="single" w:color="000000" w:sz="12" w:space="0"/>
              <w:left w:val="single" w:color="auto" w:sz="4" w:space="0"/>
              <w:bottom w:val="nil"/>
              <w:right w:val="nil"/>
            </w:tcBorders>
            <w:shd w:val="clear" w:color="auto" w:fill="FFFFFF"/>
            <w:vAlign w:val="top"/>
          </w:tcPr>
          <w:p w14:paraId="39ED71D5">
            <w:pPr>
              <w:spacing w:line="240" w:lineRule="auto"/>
              <w:ind w:left="0" w:leftChars="0" w:firstLine="0" w:firstLineChars="0"/>
              <w:jc w:val="center"/>
              <w:rPr>
                <w:rFonts w:hint="default" w:eastAsia="宋体" w:asciiTheme="minorAscii" w:hAnsiTheme="minorAscii" w:cstheme="minorBidi"/>
                <w:b w:val="0"/>
                <w:color w:val="000000"/>
                <w:kern w:val="2"/>
                <w:sz w:val="21"/>
                <w:szCs w:val="21"/>
                <w:vertAlign w:val="baseline"/>
                <w:lang w:val="en-US" w:eastAsia="zh-CN" w:bidi="ar-SA"/>
              </w:rPr>
            </w:pPr>
            <w:r>
              <w:rPr>
                <w:rFonts w:hint="eastAsia" w:cstheme="minorBidi"/>
                <w:b w:val="0"/>
                <w:color w:val="000000"/>
                <w:kern w:val="2"/>
                <w:sz w:val="21"/>
                <w:szCs w:val="21"/>
                <w:vertAlign w:val="baseline"/>
                <w:lang w:val="en-US" w:eastAsia="zh-CN" w:bidi="ar-SA"/>
              </w:rPr>
              <w:t>2024/12/05</w:t>
            </w:r>
          </w:p>
        </w:tc>
        <w:tc>
          <w:tcPr>
            <w:tcW w:w="1282" w:type="dxa"/>
            <w:tcBorders>
              <w:top w:val="single" w:color="000000" w:sz="12" w:space="0"/>
              <w:left w:val="nil"/>
              <w:bottom w:val="nil"/>
              <w:right w:val="nil"/>
            </w:tcBorders>
            <w:shd w:val="clear" w:color="auto" w:fill="FFFFFF"/>
            <w:vAlign w:val="top"/>
          </w:tcPr>
          <w:p w14:paraId="323B13A1">
            <w:pPr>
              <w:spacing w:line="240" w:lineRule="auto"/>
              <w:ind w:left="0" w:leftChars="0" w:firstLine="0" w:firstLineChars="0"/>
              <w:jc w:val="center"/>
              <w:rPr>
                <w:rFonts w:hint="default" w:eastAsia="宋体" w:asciiTheme="minorAscii" w:hAnsiTheme="minorAscii" w:cstheme="minorBidi"/>
                <w:b w:val="0"/>
                <w:color w:val="000000"/>
                <w:kern w:val="2"/>
                <w:sz w:val="21"/>
                <w:szCs w:val="21"/>
                <w:vertAlign w:val="baseline"/>
                <w:lang w:val="en-US" w:eastAsia="zh-CN" w:bidi="ar-SA"/>
              </w:rPr>
            </w:pPr>
            <w:r>
              <w:rPr>
                <w:rFonts w:hint="eastAsia" w:cstheme="minorBidi"/>
                <w:b w:val="0"/>
                <w:color w:val="000000"/>
                <w:kern w:val="2"/>
                <w:sz w:val="21"/>
                <w:szCs w:val="21"/>
                <w:vertAlign w:val="baseline"/>
                <w:lang w:val="en-US" w:eastAsia="zh-CN" w:bidi="ar-SA"/>
              </w:rPr>
              <w:t>2024/12/06</w:t>
            </w:r>
          </w:p>
        </w:tc>
        <w:tc>
          <w:tcPr>
            <w:tcW w:w="1282" w:type="dxa"/>
            <w:tcBorders>
              <w:top w:val="single" w:color="000000" w:sz="12" w:space="0"/>
              <w:left w:val="nil"/>
              <w:bottom w:val="nil"/>
              <w:right w:val="nil"/>
            </w:tcBorders>
            <w:shd w:val="clear" w:color="auto" w:fill="FFFFFF"/>
            <w:vAlign w:val="top"/>
          </w:tcPr>
          <w:p w14:paraId="635F7DDE">
            <w:pPr>
              <w:spacing w:line="240" w:lineRule="auto"/>
              <w:ind w:left="0" w:leftChars="0" w:firstLine="0" w:firstLineChars="0"/>
              <w:jc w:val="center"/>
              <w:rPr>
                <w:rFonts w:hint="default" w:eastAsia="宋体" w:asciiTheme="minorAscii" w:hAnsiTheme="minorAscii" w:cstheme="minorBidi"/>
                <w:b w:val="0"/>
                <w:color w:val="000000"/>
                <w:kern w:val="2"/>
                <w:sz w:val="21"/>
                <w:szCs w:val="21"/>
                <w:vertAlign w:val="baseline"/>
                <w:lang w:val="en-US" w:eastAsia="zh-CN" w:bidi="ar-SA"/>
              </w:rPr>
            </w:pPr>
            <w:r>
              <w:rPr>
                <w:rFonts w:hint="eastAsia" w:cstheme="minorBidi"/>
                <w:b w:val="0"/>
                <w:color w:val="000000"/>
                <w:kern w:val="2"/>
                <w:sz w:val="21"/>
                <w:szCs w:val="21"/>
                <w:vertAlign w:val="baseline"/>
                <w:lang w:val="en-US" w:eastAsia="zh-CN" w:bidi="ar-SA"/>
              </w:rPr>
              <w:t>2024/12/11</w:t>
            </w:r>
          </w:p>
        </w:tc>
        <w:tc>
          <w:tcPr>
            <w:tcW w:w="1282" w:type="dxa"/>
            <w:tcBorders>
              <w:top w:val="single" w:color="000000" w:sz="12" w:space="0"/>
              <w:left w:val="nil"/>
              <w:bottom w:val="nil"/>
              <w:right w:val="nil"/>
            </w:tcBorders>
            <w:shd w:val="clear" w:color="auto" w:fill="FFFFFF"/>
            <w:vAlign w:val="top"/>
          </w:tcPr>
          <w:p w14:paraId="533A4F4C">
            <w:pPr>
              <w:spacing w:line="240" w:lineRule="auto"/>
              <w:ind w:left="0" w:leftChars="0" w:firstLine="0" w:firstLineChars="0"/>
              <w:jc w:val="center"/>
              <w:rPr>
                <w:rFonts w:hint="default" w:eastAsia="宋体" w:asciiTheme="minorAscii" w:hAnsiTheme="minorAscii" w:cstheme="minorBidi"/>
                <w:b w:val="0"/>
                <w:color w:val="000000"/>
                <w:kern w:val="2"/>
                <w:sz w:val="21"/>
                <w:szCs w:val="21"/>
                <w:vertAlign w:val="baseline"/>
                <w:lang w:val="en-US" w:eastAsia="zh-CN" w:bidi="ar-SA"/>
              </w:rPr>
            </w:pPr>
          </w:p>
        </w:tc>
        <w:tc>
          <w:tcPr>
            <w:tcW w:w="1282" w:type="dxa"/>
            <w:tcBorders>
              <w:top w:val="single" w:color="000000" w:sz="12" w:space="0"/>
              <w:left w:val="nil"/>
              <w:bottom w:val="nil"/>
              <w:right w:val="nil"/>
            </w:tcBorders>
            <w:shd w:val="clear" w:color="auto" w:fill="FFFFFF"/>
          </w:tcPr>
          <w:p w14:paraId="2068E185">
            <w:pPr>
              <w:spacing w:line="240" w:lineRule="auto"/>
              <w:ind w:left="0" w:leftChars="0" w:firstLine="0" w:firstLineChars="0"/>
              <w:jc w:val="center"/>
              <w:rPr>
                <w:rFonts w:hint="default" w:eastAsia="宋体" w:asciiTheme="minorAscii" w:hAnsiTheme="minorAscii" w:cstheme="minorBidi"/>
                <w:b w:val="0"/>
                <w:color w:val="000000"/>
                <w:kern w:val="2"/>
                <w:sz w:val="21"/>
                <w:szCs w:val="21"/>
                <w:vertAlign w:val="baseline"/>
                <w:lang w:val="en-US" w:eastAsia="zh-CN" w:bidi="ar-SA"/>
              </w:rPr>
            </w:pPr>
          </w:p>
        </w:tc>
      </w:tr>
      <w:tr w14:paraId="02F9C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709" w:type="dxa"/>
            <w:tcBorders>
              <w:top w:val="nil"/>
              <w:left w:val="nil"/>
              <w:bottom w:val="nil"/>
              <w:right w:val="single" w:color="auto" w:sz="4" w:space="0"/>
            </w:tcBorders>
            <w:shd w:val="clear" w:color="auto" w:fill="FFFFFF"/>
          </w:tcPr>
          <w:p w14:paraId="5BEA80A6">
            <w:pPr>
              <w:spacing w:line="240" w:lineRule="auto"/>
              <w:ind w:left="0" w:leftChars="0" w:firstLine="0" w:firstLineChars="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客流量</w:t>
            </w:r>
          </w:p>
        </w:tc>
        <w:tc>
          <w:tcPr>
            <w:tcW w:w="1282" w:type="dxa"/>
            <w:tcBorders>
              <w:top w:val="nil"/>
              <w:left w:val="single" w:color="auto" w:sz="4" w:space="0"/>
              <w:bottom w:val="nil"/>
              <w:right w:val="nil"/>
            </w:tcBorders>
            <w:shd w:val="clear" w:color="auto" w:fill="FFFFFF"/>
            <w:vAlign w:val="top"/>
          </w:tcPr>
          <w:p w14:paraId="2AC3E607">
            <w:pPr>
              <w:spacing w:line="240" w:lineRule="auto"/>
              <w:ind w:left="0" w:leftChars="0" w:firstLine="0" w:firstLineChars="0"/>
              <w:jc w:val="center"/>
              <w:rPr>
                <w:rFonts w:hint="eastAsia" w:eastAsia="宋体" w:asciiTheme="minorAscii" w:hAnsiTheme="minorAscii" w:cstheme="minorBidi"/>
                <w:b w:val="0"/>
                <w:color w:val="000000"/>
                <w:kern w:val="2"/>
                <w:sz w:val="21"/>
                <w:szCs w:val="21"/>
                <w:vertAlign w:val="baseline"/>
                <w:lang w:val="en-US" w:eastAsia="zh-CN" w:bidi="ar-SA"/>
              </w:rPr>
            </w:pPr>
            <w:r>
              <w:rPr>
                <w:rFonts w:hint="eastAsia" w:eastAsia="宋体" w:asciiTheme="minorAscii" w:hAnsiTheme="minorAscii" w:cstheme="minorBidi"/>
                <w:b w:val="0"/>
                <w:color w:val="000000"/>
                <w:kern w:val="2"/>
                <w:sz w:val="21"/>
                <w:szCs w:val="21"/>
                <w:vertAlign w:val="baseline"/>
                <w:lang w:val="en-US" w:eastAsia="zh-CN" w:bidi="ar-SA"/>
              </w:rPr>
              <w:t>362.6</w:t>
            </w:r>
          </w:p>
        </w:tc>
        <w:tc>
          <w:tcPr>
            <w:tcW w:w="1282" w:type="dxa"/>
            <w:tcBorders>
              <w:top w:val="nil"/>
              <w:left w:val="nil"/>
              <w:bottom w:val="nil"/>
              <w:right w:val="nil"/>
            </w:tcBorders>
            <w:shd w:val="clear" w:color="auto" w:fill="FFFFFF"/>
            <w:vAlign w:val="top"/>
          </w:tcPr>
          <w:p w14:paraId="7676D475">
            <w:pPr>
              <w:spacing w:line="240" w:lineRule="auto"/>
              <w:ind w:left="0" w:leftChars="0" w:firstLine="0" w:firstLineChars="0"/>
              <w:jc w:val="center"/>
              <w:rPr>
                <w:rFonts w:hint="eastAsia" w:eastAsia="宋体" w:asciiTheme="minorAscii" w:hAnsiTheme="minorAscii" w:cstheme="minorBidi"/>
                <w:b w:val="0"/>
                <w:color w:val="000000"/>
                <w:kern w:val="2"/>
                <w:sz w:val="21"/>
                <w:szCs w:val="21"/>
                <w:vertAlign w:val="baseline"/>
                <w:lang w:val="en-US" w:eastAsia="zh-CN" w:bidi="ar-SA"/>
              </w:rPr>
            </w:pPr>
            <w:r>
              <w:rPr>
                <w:rFonts w:hint="eastAsia" w:eastAsia="宋体" w:asciiTheme="minorAscii" w:hAnsiTheme="minorAscii" w:cstheme="minorBidi"/>
                <w:b w:val="0"/>
                <w:color w:val="000000"/>
                <w:kern w:val="2"/>
                <w:sz w:val="21"/>
                <w:szCs w:val="21"/>
                <w:vertAlign w:val="baseline"/>
                <w:lang w:val="en-US" w:eastAsia="zh-CN" w:bidi="ar-SA"/>
              </w:rPr>
              <w:t>431.7</w:t>
            </w:r>
          </w:p>
        </w:tc>
        <w:tc>
          <w:tcPr>
            <w:tcW w:w="1282" w:type="dxa"/>
            <w:tcBorders>
              <w:top w:val="nil"/>
              <w:left w:val="nil"/>
              <w:bottom w:val="nil"/>
              <w:right w:val="nil"/>
            </w:tcBorders>
            <w:shd w:val="clear" w:color="auto" w:fill="FFFFFF"/>
            <w:vAlign w:val="top"/>
          </w:tcPr>
          <w:p w14:paraId="15F4736D">
            <w:pPr>
              <w:spacing w:line="240" w:lineRule="auto"/>
              <w:ind w:left="0" w:leftChars="0" w:firstLine="0" w:firstLineChars="0"/>
              <w:jc w:val="center"/>
              <w:rPr>
                <w:rFonts w:hint="eastAsia" w:eastAsia="宋体" w:asciiTheme="minorAscii" w:hAnsiTheme="minorAscii" w:cstheme="minorBidi"/>
                <w:b w:val="0"/>
                <w:color w:val="000000"/>
                <w:kern w:val="2"/>
                <w:sz w:val="21"/>
                <w:szCs w:val="21"/>
                <w:vertAlign w:val="baseline"/>
                <w:lang w:val="en-US" w:eastAsia="zh-CN" w:bidi="ar-SA"/>
              </w:rPr>
            </w:pPr>
            <w:r>
              <w:rPr>
                <w:rFonts w:hint="eastAsia" w:eastAsia="宋体" w:asciiTheme="minorAscii" w:hAnsiTheme="minorAscii" w:cstheme="minorBidi"/>
                <w:b w:val="0"/>
                <w:color w:val="000000"/>
                <w:kern w:val="2"/>
                <w:sz w:val="21"/>
                <w:szCs w:val="21"/>
                <w:vertAlign w:val="baseline"/>
                <w:lang w:val="en-US" w:eastAsia="zh-CN" w:bidi="ar-SA"/>
              </w:rPr>
              <w:t>372.9</w:t>
            </w:r>
          </w:p>
        </w:tc>
        <w:tc>
          <w:tcPr>
            <w:tcW w:w="1282" w:type="dxa"/>
            <w:tcBorders>
              <w:top w:val="nil"/>
              <w:left w:val="nil"/>
              <w:bottom w:val="nil"/>
              <w:right w:val="nil"/>
            </w:tcBorders>
            <w:shd w:val="clear" w:color="auto" w:fill="FFFFFF"/>
          </w:tcPr>
          <w:p w14:paraId="063B62A2">
            <w:pPr>
              <w:spacing w:line="240" w:lineRule="auto"/>
              <w:ind w:left="0" w:leftChars="0" w:firstLine="0" w:firstLineChars="0"/>
              <w:jc w:val="center"/>
              <w:rPr>
                <w:rFonts w:hint="eastAsia" w:eastAsia="宋体" w:asciiTheme="minorAscii" w:hAnsiTheme="minorAscii" w:cstheme="minorBidi"/>
                <w:b w:val="0"/>
                <w:color w:val="000000"/>
                <w:kern w:val="2"/>
                <w:sz w:val="21"/>
                <w:szCs w:val="21"/>
                <w:vertAlign w:val="baseline"/>
                <w:lang w:val="en-US" w:eastAsia="zh-CN" w:bidi="ar-SA"/>
              </w:rPr>
            </w:pPr>
          </w:p>
        </w:tc>
        <w:tc>
          <w:tcPr>
            <w:tcW w:w="1282" w:type="dxa"/>
            <w:tcBorders>
              <w:top w:val="nil"/>
              <w:left w:val="nil"/>
              <w:bottom w:val="nil"/>
              <w:right w:val="nil"/>
            </w:tcBorders>
            <w:shd w:val="clear" w:color="auto" w:fill="FFFFFF"/>
          </w:tcPr>
          <w:p w14:paraId="008114B5">
            <w:pPr>
              <w:spacing w:line="240" w:lineRule="auto"/>
              <w:ind w:left="0" w:leftChars="0" w:firstLine="0" w:firstLineChars="0"/>
              <w:jc w:val="center"/>
              <w:rPr>
                <w:rFonts w:hint="eastAsia" w:eastAsia="宋体" w:asciiTheme="minorAscii" w:hAnsiTheme="minorAscii" w:cstheme="minorBidi"/>
                <w:b w:val="0"/>
                <w:color w:val="000000"/>
                <w:kern w:val="2"/>
                <w:sz w:val="21"/>
                <w:szCs w:val="21"/>
                <w:vertAlign w:val="baseline"/>
                <w:lang w:val="en-US" w:eastAsia="zh-CN" w:bidi="ar-SA"/>
              </w:rPr>
            </w:pPr>
          </w:p>
        </w:tc>
      </w:tr>
      <w:tr w14:paraId="4E274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709" w:type="dxa"/>
            <w:tcBorders>
              <w:top w:val="nil"/>
              <w:left w:val="nil"/>
              <w:bottom w:val="single" w:color="000000" w:sz="12" w:space="0"/>
              <w:right w:val="single" w:color="auto" w:sz="4" w:space="0"/>
            </w:tcBorders>
            <w:shd w:val="clear" w:color="auto" w:fill="FFFFFF"/>
          </w:tcPr>
          <w:p w14:paraId="3759D4D4">
            <w:pPr>
              <w:spacing w:line="240" w:lineRule="auto"/>
              <w:ind w:left="0" w:leftChars="0" w:firstLine="0" w:firstLineChars="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客流强度</w:t>
            </w:r>
          </w:p>
        </w:tc>
        <w:tc>
          <w:tcPr>
            <w:tcW w:w="1282" w:type="dxa"/>
            <w:tcBorders>
              <w:top w:val="nil"/>
              <w:left w:val="single" w:color="auto" w:sz="4" w:space="0"/>
              <w:bottom w:val="single" w:color="000000" w:sz="12" w:space="0"/>
              <w:right w:val="nil"/>
            </w:tcBorders>
            <w:shd w:val="clear" w:color="auto" w:fill="FFFFFF"/>
          </w:tcPr>
          <w:p w14:paraId="23C00B1A">
            <w:pPr>
              <w:spacing w:line="240" w:lineRule="auto"/>
              <w:ind w:left="0" w:leftChars="0" w:firstLine="0" w:firstLineChars="0"/>
              <w:jc w:val="center"/>
              <w:rPr>
                <w:rFonts w:hint="default" w:eastAsia="宋体" w:asciiTheme="minorAscii" w:hAnsiTheme="minorAscii" w:cstheme="minorBidi"/>
                <w:b w:val="0"/>
                <w:color w:val="000000"/>
                <w:kern w:val="2"/>
                <w:sz w:val="21"/>
                <w:szCs w:val="21"/>
                <w:vertAlign w:val="baseline"/>
                <w:lang w:val="en-US" w:eastAsia="zh-CN" w:bidi="ar-SA"/>
              </w:rPr>
            </w:pPr>
            <w:r>
              <w:rPr>
                <w:rFonts w:hint="eastAsia" w:cstheme="minorBidi"/>
                <w:b w:val="0"/>
                <w:color w:val="000000"/>
                <w:kern w:val="2"/>
                <w:sz w:val="21"/>
                <w:szCs w:val="21"/>
                <w:vertAlign w:val="baseline"/>
                <w:lang w:val="en-US" w:eastAsia="zh-CN" w:bidi="ar-SA"/>
              </w:rPr>
              <w:t>1.02</w:t>
            </w:r>
          </w:p>
        </w:tc>
        <w:tc>
          <w:tcPr>
            <w:tcW w:w="1282" w:type="dxa"/>
            <w:tcBorders>
              <w:top w:val="nil"/>
              <w:left w:val="nil"/>
              <w:bottom w:val="single" w:color="000000" w:sz="12" w:space="0"/>
              <w:right w:val="nil"/>
            </w:tcBorders>
            <w:shd w:val="clear" w:color="auto" w:fill="FFFFFF"/>
          </w:tcPr>
          <w:p w14:paraId="39F33CF9">
            <w:pPr>
              <w:spacing w:line="240" w:lineRule="auto"/>
              <w:ind w:left="0" w:leftChars="0" w:firstLine="0" w:firstLineChars="0"/>
              <w:jc w:val="center"/>
              <w:rPr>
                <w:rFonts w:hint="default" w:eastAsia="宋体" w:asciiTheme="minorAscii" w:hAnsiTheme="minorAscii" w:cstheme="minorBidi"/>
                <w:b w:val="0"/>
                <w:color w:val="000000"/>
                <w:kern w:val="2"/>
                <w:sz w:val="21"/>
                <w:szCs w:val="21"/>
                <w:vertAlign w:val="baseline"/>
                <w:lang w:val="en-US" w:eastAsia="zh-CN" w:bidi="ar-SA"/>
              </w:rPr>
            </w:pPr>
            <w:r>
              <w:rPr>
                <w:rFonts w:hint="eastAsia" w:cstheme="minorBidi"/>
                <w:b w:val="0"/>
                <w:color w:val="000000"/>
                <w:kern w:val="2"/>
                <w:sz w:val="21"/>
                <w:szCs w:val="21"/>
                <w:vertAlign w:val="baseline"/>
                <w:lang w:val="en-US" w:eastAsia="zh-CN" w:bidi="ar-SA"/>
              </w:rPr>
              <w:t>1.12</w:t>
            </w:r>
          </w:p>
        </w:tc>
        <w:tc>
          <w:tcPr>
            <w:tcW w:w="1282" w:type="dxa"/>
            <w:tcBorders>
              <w:top w:val="nil"/>
              <w:left w:val="nil"/>
              <w:bottom w:val="single" w:color="000000" w:sz="12" w:space="0"/>
              <w:right w:val="nil"/>
            </w:tcBorders>
            <w:shd w:val="clear" w:color="auto" w:fill="FFFFFF"/>
          </w:tcPr>
          <w:p w14:paraId="1B413ED3">
            <w:pPr>
              <w:spacing w:line="240" w:lineRule="auto"/>
              <w:ind w:left="0" w:leftChars="0" w:firstLine="0" w:firstLineChars="0"/>
              <w:jc w:val="center"/>
              <w:rPr>
                <w:rFonts w:hint="default" w:eastAsia="宋体" w:asciiTheme="minorAscii" w:hAnsiTheme="minorAscii" w:cstheme="minorBidi"/>
                <w:b w:val="0"/>
                <w:color w:val="000000"/>
                <w:kern w:val="2"/>
                <w:sz w:val="21"/>
                <w:szCs w:val="21"/>
                <w:vertAlign w:val="baseline"/>
                <w:lang w:val="en-US" w:eastAsia="zh-CN" w:bidi="ar-SA"/>
              </w:rPr>
            </w:pPr>
            <w:r>
              <w:rPr>
                <w:rFonts w:hint="eastAsia" w:cstheme="minorBidi"/>
                <w:b w:val="0"/>
                <w:color w:val="000000"/>
                <w:kern w:val="2"/>
                <w:sz w:val="21"/>
                <w:szCs w:val="21"/>
                <w:vertAlign w:val="baseline"/>
                <w:lang w:val="en-US" w:eastAsia="zh-CN" w:bidi="ar-SA"/>
              </w:rPr>
              <w:t>1.05</w:t>
            </w:r>
          </w:p>
        </w:tc>
        <w:tc>
          <w:tcPr>
            <w:tcW w:w="1282" w:type="dxa"/>
            <w:tcBorders>
              <w:top w:val="nil"/>
              <w:left w:val="nil"/>
              <w:bottom w:val="single" w:color="000000" w:sz="12" w:space="0"/>
              <w:right w:val="nil"/>
            </w:tcBorders>
            <w:shd w:val="clear" w:color="auto" w:fill="FFFFFF"/>
          </w:tcPr>
          <w:p w14:paraId="78F78655">
            <w:pPr>
              <w:spacing w:line="240" w:lineRule="auto"/>
              <w:ind w:left="0" w:leftChars="0" w:firstLine="0" w:firstLineChars="0"/>
              <w:jc w:val="center"/>
              <w:rPr>
                <w:rFonts w:hint="eastAsia" w:eastAsia="宋体" w:asciiTheme="minorAscii" w:hAnsiTheme="minorAscii" w:cstheme="minorBidi"/>
                <w:b w:val="0"/>
                <w:color w:val="000000"/>
                <w:kern w:val="2"/>
                <w:sz w:val="21"/>
                <w:szCs w:val="21"/>
                <w:vertAlign w:val="baseline"/>
                <w:lang w:val="en-US" w:eastAsia="zh-CN" w:bidi="ar-SA"/>
              </w:rPr>
            </w:pPr>
          </w:p>
        </w:tc>
        <w:tc>
          <w:tcPr>
            <w:tcW w:w="1282" w:type="dxa"/>
            <w:tcBorders>
              <w:top w:val="nil"/>
              <w:left w:val="nil"/>
              <w:bottom w:val="single" w:color="000000" w:sz="12" w:space="0"/>
              <w:right w:val="nil"/>
            </w:tcBorders>
            <w:shd w:val="clear" w:color="auto" w:fill="FFFFFF"/>
          </w:tcPr>
          <w:p w14:paraId="6A7ECB11">
            <w:pPr>
              <w:spacing w:line="240" w:lineRule="auto"/>
              <w:ind w:left="0" w:leftChars="0" w:firstLine="0" w:firstLineChars="0"/>
              <w:jc w:val="center"/>
              <w:rPr>
                <w:rFonts w:hint="eastAsia" w:eastAsia="宋体" w:asciiTheme="minorAscii" w:hAnsiTheme="minorAscii" w:cstheme="minorBidi"/>
                <w:b w:val="0"/>
                <w:color w:val="000000"/>
                <w:kern w:val="2"/>
                <w:sz w:val="21"/>
                <w:szCs w:val="21"/>
                <w:vertAlign w:val="baseline"/>
                <w:lang w:val="en-US" w:eastAsia="zh-CN" w:bidi="ar-SA"/>
              </w:rPr>
            </w:pPr>
          </w:p>
        </w:tc>
      </w:tr>
    </w:tbl>
    <w:p w14:paraId="48715E5D">
      <w:pPr>
        <w:spacing w:line="240" w:lineRule="auto"/>
        <w:ind w:left="0" w:leftChars="0" w:firstLine="0" w:firstLineChars="0"/>
        <w:rPr>
          <w:rFonts w:hint="default"/>
          <w:lang w:val="en-US" w:eastAsia="zh-CN"/>
        </w:rPr>
      </w:pPr>
    </w:p>
    <w:p w14:paraId="496967F8">
      <w:pPr>
        <w:pStyle w:val="5"/>
        <w:keepNext w:val="0"/>
        <w:keepLines/>
        <w:pageBreakBefore w:val="0"/>
        <w:widowControl w:val="0"/>
        <w:numPr>
          <w:ilvl w:val="0"/>
          <w:numId w:val="6"/>
        </w:numPr>
        <w:kinsoku/>
        <w:wordWrap/>
        <w:overflowPunct/>
        <w:topLinePunct w:val="0"/>
        <w:autoSpaceDE/>
        <w:autoSpaceDN/>
        <w:bidi w:val="0"/>
        <w:adjustRightInd/>
        <w:snapToGrid/>
        <w:ind w:left="-641" w:leftChars="0" w:firstLine="641" w:firstLineChars="0"/>
        <w:textAlignment w:val="auto"/>
        <w:rPr>
          <w:rFonts w:hint="default"/>
          <w:lang w:val="en-US" w:eastAsia="zh-CN"/>
        </w:rPr>
      </w:pPr>
      <w:r>
        <w:rPr>
          <w:rFonts w:hint="eastAsia"/>
          <w:lang w:val="en-US" w:eastAsia="zh-CN"/>
        </w:rPr>
        <w:t>数据分析</w:t>
      </w:r>
    </w:p>
    <w:p w14:paraId="01C2797B">
      <w:pPr>
        <w:bidi w:val="0"/>
        <w:rPr>
          <w:rFonts w:hint="default"/>
          <w:lang w:val="en-US" w:eastAsia="zh-CN"/>
        </w:rPr>
      </w:pPr>
      <w:bookmarkStart w:id="0" w:name="_GoBack"/>
      <w:bookmarkEnd w:id="0"/>
    </w:p>
    <w:p w14:paraId="6EEE21CD">
      <w:pPr>
        <w:pStyle w:val="4"/>
        <w:numPr>
          <w:ilvl w:val="0"/>
          <w:numId w:val="1"/>
        </w:numPr>
        <w:bidi w:val="0"/>
        <w:rPr>
          <w:rFonts w:hint="default"/>
          <w:lang w:val="en-US" w:eastAsia="zh-CN"/>
        </w:rPr>
      </w:pPr>
      <w:r>
        <w:rPr>
          <w:rFonts w:hint="eastAsia"/>
          <w:lang w:val="en-US" w:eastAsia="zh-CN"/>
        </w:rPr>
        <w:t>模型构建</w:t>
      </w:r>
    </w:p>
    <w:p w14:paraId="6689E65B">
      <w:pPr>
        <w:pStyle w:val="5"/>
        <w:numPr>
          <w:ilvl w:val="0"/>
          <w:numId w:val="9"/>
        </w:numPr>
        <w:bidi w:val="0"/>
        <w:rPr>
          <w:rFonts w:hint="default"/>
          <w:lang w:val="en-US" w:eastAsia="zh-CN"/>
        </w:rPr>
      </w:pPr>
      <w:r>
        <w:rPr>
          <w:rFonts w:hint="eastAsia"/>
          <w:lang w:val="en-US" w:eastAsia="zh-CN"/>
        </w:rPr>
        <w:t>复杂网络韧性指标</w:t>
      </w:r>
    </w:p>
    <w:p w14:paraId="1F0BE654">
      <w:pPr>
        <w:pStyle w:val="6"/>
        <w:rPr>
          <w:rFonts w:hint="default"/>
          <w:lang w:val="en-US" w:eastAsia="zh-CN"/>
        </w:rPr>
      </w:pPr>
    </w:p>
    <w:p w14:paraId="59A85EDF">
      <w:pPr>
        <w:pStyle w:val="5"/>
        <w:numPr>
          <w:ilvl w:val="0"/>
          <w:numId w:val="9"/>
        </w:numPr>
        <w:bidi w:val="0"/>
        <w:rPr>
          <w:rFonts w:hint="eastAsia"/>
          <w:lang w:val="en-US" w:eastAsia="zh-CN"/>
        </w:rPr>
      </w:pPr>
      <w:r>
        <w:rPr>
          <w:rFonts w:hint="eastAsia"/>
          <w:lang w:val="en-US" w:eastAsia="zh-CN"/>
        </w:rPr>
        <w:t>LSTM模型建立</w:t>
      </w:r>
    </w:p>
    <w:p w14:paraId="5493B67B">
      <w:pPr>
        <w:pStyle w:val="6"/>
        <w:rPr>
          <w:rFonts w:hint="default"/>
          <w:lang w:val="en-US" w:eastAsia="zh-CN"/>
        </w:rPr>
      </w:pPr>
      <w:r>
        <w:rPr>
          <w:rFonts w:hint="eastAsia"/>
          <w:lang w:val="en-US" w:eastAsia="zh-CN"/>
        </w:rPr>
        <w:t>时间序列模型</w:t>
      </w:r>
    </w:p>
    <w:p w14:paraId="1555DD92">
      <w:pPr>
        <w:pStyle w:val="5"/>
        <w:numPr>
          <w:ilvl w:val="0"/>
          <w:numId w:val="9"/>
        </w:numPr>
        <w:bidi w:val="0"/>
        <w:rPr>
          <w:rFonts w:hint="default"/>
          <w:lang w:val="en-US" w:eastAsia="zh-CN"/>
        </w:rPr>
      </w:pPr>
      <w:r>
        <w:rPr>
          <w:rFonts w:hint="eastAsia"/>
          <w:lang w:val="en-US" w:eastAsia="zh-CN"/>
        </w:rPr>
        <w:t>多目标优化决策</w:t>
      </w:r>
    </w:p>
    <w:p w14:paraId="7C8127E1">
      <w:pPr>
        <w:pStyle w:val="6"/>
        <w:rPr>
          <w:rFonts w:hint="default"/>
          <w:lang w:val="en-US" w:eastAsia="zh-CN"/>
        </w:rPr>
      </w:pPr>
      <w:r>
        <w:rPr>
          <w:rFonts w:hint="eastAsia"/>
          <w:lang w:val="en-US" w:eastAsia="zh-CN"/>
        </w:rPr>
        <w:t>动态分析</w:t>
      </w:r>
    </w:p>
    <w:p w14:paraId="798EEBFA">
      <w:pPr>
        <w:pStyle w:val="5"/>
        <w:numPr>
          <w:ilvl w:val="0"/>
          <w:numId w:val="9"/>
        </w:numPr>
        <w:bidi w:val="0"/>
        <w:rPr>
          <w:rFonts w:hint="default"/>
          <w:lang w:val="en-US" w:eastAsia="zh-CN"/>
        </w:rPr>
      </w:pPr>
      <w:r>
        <w:rPr>
          <w:rFonts w:hint="eastAsia"/>
          <w:lang w:val="en-US" w:eastAsia="zh-CN"/>
        </w:rPr>
        <w:t>结果分析</w:t>
      </w:r>
    </w:p>
    <w:p w14:paraId="1C6778F5">
      <w:pPr>
        <w:pStyle w:val="6"/>
        <w:rPr>
          <w:rFonts w:hint="default"/>
          <w:lang w:val="en-US" w:eastAsia="zh-CN"/>
        </w:rPr>
      </w:pPr>
      <w:r>
        <w:rPr>
          <w:rFonts w:hint="eastAsia"/>
          <w:lang w:val="en-US" w:eastAsia="zh-CN"/>
        </w:rPr>
        <w:t>预测</w:t>
      </w:r>
    </w:p>
    <w:p w14:paraId="55E9B4AD">
      <w:pPr>
        <w:pStyle w:val="4"/>
        <w:numPr>
          <w:ilvl w:val="0"/>
          <w:numId w:val="1"/>
        </w:numPr>
        <w:bidi w:val="0"/>
        <w:rPr>
          <w:rFonts w:hint="default"/>
          <w:lang w:val="en-US" w:eastAsia="zh-CN"/>
        </w:rPr>
      </w:pPr>
      <w:r>
        <w:rPr>
          <w:rFonts w:hint="eastAsia"/>
          <w:lang w:val="en-US" w:eastAsia="zh-CN"/>
        </w:rPr>
        <w:t>结论与建议</w:t>
      </w:r>
    </w:p>
    <w:p w14:paraId="430012D6">
      <w:pPr>
        <w:pStyle w:val="5"/>
        <w:numPr>
          <w:ilvl w:val="0"/>
          <w:numId w:val="10"/>
        </w:numPr>
        <w:bidi w:val="0"/>
        <w:ind w:left="240" w:leftChars="0" w:firstLineChars="0"/>
        <w:rPr>
          <w:rFonts w:hint="eastAsia"/>
          <w:lang w:val="en-US" w:eastAsia="zh-CN"/>
        </w:rPr>
      </w:pPr>
      <w:r>
        <w:rPr>
          <w:rFonts w:hint="eastAsia"/>
          <w:lang w:val="en-US" w:eastAsia="zh-CN"/>
        </w:rPr>
        <w:t>结论</w:t>
      </w:r>
    </w:p>
    <w:p w14:paraId="3F52760A">
      <w:pPr>
        <w:pStyle w:val="6"/>
        <w:rPr>
          <w:rFonts w:hint="eastAsia"/>
          <w:lang w:val="en-US" w:eastAsia="zh-CN"/>
        </w:rPr>
      </w:pPr>
    </w:p>
    <w:p w14:paraId="57C08896">
      <w:pPr>
        <w:pStyle w:val="5"/>
        <w:numPr>
          <w:ilvl w:val="0"/>
          <w:numId w:val="10"/>
        </w:numPr>
        <w:bidi w:val="0"/>
        <w:ind w:left="240" w:leftChars="0" w:firstLineChars="0"/>
        <w:rPr>
          <w:rFonts w:hint="default"/>
          <w:lang w:val="en-US" w:eastAsia="zh-CN"/>
        </w:rPr>
      </w:pPr>
      <w:r>
        <w:rPr>
          <w:rFonts w:hint="eastAsia"/>
          <w:lang w:val="en-US" w:eastAsia="zh-CN"/>
        </w:rPr>
        <w:t>模型的优劣评价</w:t>
      </w:r>
    </w:p>
    <w:p w14:paraId="0C0B8053">
      <w:pPr>
        <w:pStyle w:val="6"/>
        <w:rPr>
          <w:rFonts w:hint="default"/>
          <w:lang w:val="en-US" w:eastAsia="zh-CN"/>
        </w:rPr>
      </w:pPr>
      <w:r>
        <w:rPr>
          <w:rFonts w:hint="eastAsia"/>
          <w:lang w:val="en-US" w:eastAsia="zh-CN"/>
        </w:rPr>
        <w:t>1.模型的创新点</w:t>
      </w:r>
    </w:p>
    <w:p w14:paraId="7AFBFF81">
      <w:pPr>
        <w:numPr>
          <w:ilvl w:val="0"/>
          <w:numId w:val="11"/>
        </w:numPr>
        <w:rPr>
          <w:rFonts w:hint="eastAsia"/>
        </w:rPr>
      </w:pPr>
      <w:r>
        <w:rPr>
          <w:rFonts w:hint="eastAsia"/>
        </w:rPr>
        <w:t>将复杂网络理论应用于城市交通-环境系统的拓扑建模</w:t>
      </w:r>
    </w:p>
    <w:p w14:paraId="18C9E89C">
      <w:pPr>
        <w:numPr>
          <w:ilvl w:val="0"/>
          <w:numId w:val="11"/>
        </w:numPr>
        <w:rPr>
          <w:rFonts w:hint="default"/>
          <w:lang w:val="en-US" w:eastAsia="zh-CN"/>
        </w:rPr>
      </w:pPr>
      <w:r>
        <w:rPr>
          <w:rFonts w:hint="eastAsia"/>
        </w:rPr>
        <w:t>结合LSTM神经网络处理时间序列数据的优势</w:t>
      </w:r>
    </w:p>
    <w:p w14:paraId="73290760">
      <w:pPr>
        <w:numPr>
          <w:ilvl w:val="0"/>
          <w:numId w:val="11"/>
        </w:numPr>
        <w:rPr>
          <w:rFonts w:hint="default"/>
          <w:lang w:val="en-US" w:eastAsia="zh-CN"/>
        </w:rPr>
      </w:pPr>
      <w:r>
        <w:rPr>
          <w:rFonts w:hint="eastAsia"/>
        </w:rPr>
        <w:t>构建多目标优化框架同时考虑客流预测精度和空气质量改善</w:t>
      </w:r>
    </w:p>
    <w:p w14:paraId="130FB0E1">
      <w:pPr>
        <w:pStyle w:val="6"/>
        <w:bidi w:val="0"/>
        <w:rPr>
          <w:rFonts w:hint="default"/>
          <w:lang w:val="en-US" w:eastAsia="zh-CN"/>
        </w:rPr>
      </w:pPr>
      <w:r>
        <w:rPr>
          <w:rFonts w:hint="eastAsia"/>
          <w:lang w:val="en-US" w:eastAsia="zh-CN"/>
        </w:rPr>
        <w:t>2.模型的缺点：</w:t>
      </w:r>
    </w:p>
    <w:p w14:paraId="6094CD0D">
      <w:pPr>
        <w:pStyle w:val="5"/>
        <w:numPr>
          <w:ilvl w:val="0"/>
          <w:numId w:val="10"/>
        </w:numPr>
        <w:bidi w:val="0"/>
        <w:ind w:left="240" w:leftChars="0" w:firstLineChars="0"/>
        <w:rPr>
          <w:rFonts w:hint="default"/>
          <w:szCs w:val="32"/>
          <w:lang w:val="en-US" w:eastAsia="zh-CN"/>
        </w:rPr>
      </w:pPr>
      <w:r>
        <w:rPr>
          <w:rFonts w:hint="eastAsia"/>
          <w:lang w:val="en-US" w:eastAsia="zh-CN"/>
        </w:rPr>
        <w:t>建议</w:t>
      </w:r>
    </w:p>
    <w:p w14:paraId="4EAD8E3C">
      <w:pPr>
        <w:pStyle w:val="6"/>
        <w:rPr>
          <w:rFonts w:hint="default"/>
          <w:lang w:val="en-US" w:eastAsia="zh-CN"/>
        </w:rPr>
      </w:pPr>
    </w:p>
    <w:p w14:paraId="77B9A2B2">
      <w:pPr>
        <w:pStyle w:val="6"/>
        <w:bidi w:val="0"/>
        <w:rPr>
          <w:rFonts w:hint="eastAsia"/>
          <w:lang w:val="en-US" w:eastAsia="zh-CN"/>
        </w:rPr>
      </w:pPr>
      <w:r>
        <w:rPr>
          <w:rFonts w:hint="eastAsia"/>
          <w:lang w:val="en-US" w:eastAsia="zh-CN"/>
        </w:rPr>
        <w:t>参考文献</w:t>
      </w:r>
    </w:p>
    <w:p w14:paraId="0C43DAD9">
      <w:pPr>
        <w:pStyle w:val="6"/>
        <w:bidi w:val="0"/>
        <w:rPr>
          <w:rFonts w:hint="default"/>
          <w:lang w:val="en-US" w:eastAsia="zh-CN"/>
        </w:rPr>
      </w:pPr>
      <w:r>
        <w:rPr>
          <w:rFonts w:hint="eastAsia"/>
          <w:lang w:val="en-US" w:eastAsia="zh-CN"/>
        </w:rPr>
        <w:t>附录</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宋体 (标题)">
    <w:altName w:val="宋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Size1">
    <w:altName w:val="Segoe Print"/>
    <w:panose1 w:val="00000000000000000000"/>
    <w:charset w:val="00"/>
    <w:family w:val="auto"/>
    <w:pitch w:val="default"/>
    <w:sig w:usb0="00000000" w:usb1="00000000" w:usb2="00000000" w:usb3="00000000" w:csb0="00000000"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F33ED0"/>
    <w:multiLevelType w:val="singleLevel"/>
    <w:tmpl w:val="A0F33ED0"/>
    <w:lvl w:ilvl="0" w:tentative="0">
      <w:start w:val="1"/>
      <w:numFmt w:val="decimal"/>
      <w:suff w:val="space"/>
      <w:lvlText w:val="%1."/>
      <w:lvlJc w:val="left"/>
    </w:lvl>
  </w:abstractNum>
  <w:abstractNum w:abstractNumId="1">
    <w:nsid w:val="AB227ABF"/>
    <w:multiLevelType w:val="singleLevel"/>
    <w:tmpl w:val="AB227ABF"/>
    <w:lvl w:ilvl="0" w:tentative="0">
      <w:start w:val="1"/>
      <w:numFmt w:val="decimal"/>
      <w:suff w:val="space"/>
      <w:lvlText w:val="%1."/>
      <w:lvlJc w:val="left"/>
    </w:lvl>
  </w:abstractNum>
  <w:abstractNum w:abstractNumId="2">
    <w:nsid w:val="BE988B73"/>
    <w:multiLevelType w:val="singleLevel"/>
    <w:tmpl w:val="BE988B73"/>
    <w:lvl w:ilvl="0" w:tentative="0">
      <w:start w:val="1"/>
      <w:numFmt w:val="chineseCounting"/>
      <w:suff w:val="nothing"/>
      <w:lvlText w:val="（%1）"/>
      <w:lvlJc w:val="left"/>
      <w:pPr>
        <w:ind w:left="0" w:leftChars="0" w:firstLine="0" w:firstLineChars="0"/>
      </w:pPr>
      <w:rPr>
        <w:rFonts w:hint="eastAsia"/>
      </w:rPr>
    </w:lvl>
  </w:abstractNum>
  <w:abstractNum w:abstractNumId="3">
    <w:nsid w:val="D64E9E2B"/>
    <w:multiLevelType w:val="singleLevel"/>
    <w:tmpl w:val="D64E9E2B"/>
    <w:lvl w:ilvl="0" w:tentative="0">
      <w:start w:val="1"/>
      <w:numFmt w:val="decimal"/>
      <w:suff w:val="space"/>
      <w:lvlText w:val="（%1）"/>
      <w:lvlJc w:val="left"/>
    </w:lvl>
  </w:abstractNum>
  <w:abstractNum w:abstractNumId="4">
    <w:nsid w:val="DCD5D640"/>
    <w:multiLevelType w:val="singleLevel"/>
    <w:tmpl w:val="DCD5D640"/>
    <w:lvl w:ilvl="0" w:tentative="0">
      <w:start w:val="1"/>
      <w:numFmt w:val="chineseCounting"/>
      <w:suff w:val="nothing"/>
      <w:lvlText w:val="（%1）"/>
      <w:lvlJc w:val="left"/>
      <w:pPr>
        <w:ind w:left="0" w:leftChars="0" w:firstLine="0" w:firstLineChars="0"/>
      </w:pPr>
      <w:rPr>
        <w:rFonts w:hint="eastAsia"/>
      </w:rPr>
    </w:lvl>
  </w:abstractNum>
  <w:abstractNum w:abstractNumId="5">
    <w:nsid w:val="E2BF13F5"/>
    <w:multiLevelType w:val="singleLevel"/>
    <w:tmpl w:val="E2BF13F5"/>
    <w:lvl w:ilvl="0" w:tentative="0">
      <w:start w:val="1"/>
      <w:numFmt w:val="chineseCounting"/>
      <w:suff w:val="nothing"/>
      <w:lvlText w:val="（%1）"/>
      <w:lvlJc w:val="left"/>
      <w:pPr>
        <w:ind w:left="240" w:leftChars="0" w:firstLine="0" w:firstLineChars="0"/>
      </w:pPr>
      <w:rPr>
        <w:rFonts w:hint="eastAsia"/>
      </w:rPr>
    </w:lvl>
  </w:abstractNum>
  <w:abstractNum w:abstractNumId="6">
    <w:nsid w:val="17F0BDA0"/>
    <w:multiLevelType w:val="singleLevel"/>
    <w:tmpl w:val="17F0BDA0"/>
    <w:lvl w:ilvl="0" w:tentative="0">
      <w:start w:val="1"/>
      <w:numFmt w:val="chineseCounting"/>
      <w:suff w:val="nothing"/>
      <w:lvlText w:val="%1、"/>
      <w:lvlJc w:val="left"/>
      <w:pPr>
        <w:ind w:left="-643"/>
      </w:pPr>
      <w:rPr>
        <w:rFonts w:hint="eastAsia"/>
      </w:rPr>
    </w:lvl>
  </w:abstractNum>
  <w:abstractNum w:abstractNumId="7">
    <w:nsid w:val="1CA9100D"/>
    <w:multiLevelType w:val="singleLevel"/>
    <w:tmpl w:val="1CA9100D"/>
    <w:lvl w:ilvl="0" w:tentative="0">
      <w:start w:val="1"/>
      <w:numFmt w:val="decimal"/>
      <w:lvlText w:val="%1."/>
      <w:lvlJc w:val="left"/>
      <w:pPr>
        <w:tabs>
          <w:tab w:val="left" w:pos="312"/>
        </w:tabs>
      </w:pPr>
    </w:lvl>
  </w:abstractNum>
  <w:abstractNum w:abstractNumId="8">
    <w:nsid w:val="1EBF8E0F"/>
    <w:multiLevelType w:val="singleLevel"/>
    <w:tmpl w:val="1EBF8E0F"/>
    <w:lvl w:ilvl="0" w:tentative="0">
      <w:start w:val="1"/>
      <w:numFmt w:val="chineseCounting"/>
      <w:suff w:val="nothing"/>
      <w:lvlText w:val="（%1）"/>
      <w:lvlJc w:val="left"/>
      <w:pPr>
        <w:ind w:left="-643"/>
      </w:pPr>
      <w:rPr>
        <w:rFonts w:hint="eastAsia"/>
      </w:rPr>
    </w:lvl>
  </w:abstractNum>
  <w:abstractNum w:abstractNumId="9">
    <w:nsid w:val="1F6E2151"/>
    <w:multiLevelType w:val="singleLevel"/>
    <w:tmpl w:val="1F6E2151"/>
    <w:lvl w:ilvl="0" w:tentative="0">
      <w:start w:val="1"/>
      <w:numFmt w:val="decimal"/>
      <w:suff w:val="space"/>
      <w:lvlText w:val="（%1）"/>
      <w:lvlJc w:val="left"/>
      <w:pPr>
        <w:ind w:left="-163"/>
      </w:pPr>
    </w:lvl>
  </w:abstractNum>
  <w:abstractNum w:abstractNumId="10">
    <w:nsid w:val="47277F52"/>
    <w:multiLevelType w:val="singleLevel"/>
    <w:tmpl w:val="47277F52"/>
    <w:lvl w:ilvl="0" w:tentative="0">
      <w:start w:val="1"/>
      <w:numFmt w:val="decimal"/>
      <w:lvlText w:val="%1."/>
      <w:lvlJc w:val="left"/>
      <w:pPr>
        <w:ind w:left="425" w:hanging="425"/>
      </w:pPr>
      <w:rPr>
        <w:rFonts w:hint="default"/>
      </w:rPr>
    </w:lvl>
  </w:abstractNum>
  <w:num w:numId="1">
    <w:abstractNumId w:val="6"/>
  </w:num>
  <w:num w:numId="2">
    <w:abstractNumId w:val="2"/>
  </w:num>
  <w:num w:numId="3">
    <w:abstractNumId w:val="10"/>
  </w:num>
  <w:num w:numId="4">
    <w:abstractNumId w:val="0"/>
  </w:num>
  <w:num w:numId="5">
    <w:abstractNumId w:val="9"/>
  </w:num>
  <w:num w:numId="6">
    <w:abstractNumId w:val="8"/>
  </w:num>
  <w:num w:numId="7">
    <w:abstractNumId w:val="3"/>
  </w:num>
  <w:num w:numId="8">
    <w:abstractNumId w:val="7"/>
  </w:num>
  <w:num w:numId="9">
    <w:abstractNumId w:val="4"/>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2E6A48"/>
    <w:rsid w:val="09DD13F2"/>
    <w:rsid w:val="19986376"/>
    <w:rsid w:val="19DB1D10"/>
    <w:rsid w:val="2B3E26CC"/>
    <w:rsid w:val="2C7622B1"/>
    <w:rsid w:val="44D81A76"/>
    <w:rsid w:val="55A43A1D"/>
    <w:rsid w:val="5FA07B26"/>
    <w:rsid w:val="674E19F8"/>
    <w:rsid w:val="6D907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Autospacing="1" w:afterAutospacing="1" w:line="560" w:lineRule="exact"/>
      <w:ind w:firstLine="643"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3"/>
    <w:next w:val="1"/>
    <w:qFormat/>
    <w:uiPriority w:val="0"/>
    <w:pPr>
      <w:keepNext/>
      <w:keepLines/>
      <w:spacing w:beforeLines="0" w:beforeAutospacing="1" w:afterLines="0" w:afterAutospacing="1" w:line="600" w:lineRule="exact"/>
      <w:outlineLvl w:val="0"/>
    </w:pPr>
    <w:rPr>
      <w:rFonts w:eastAsia="宋体 (标题)" w:asciiTheme="minorAscii" w:hAnsiTheme="minorAscii"/>
      <w:b w:val="0"/>
      <w:kern w:val="44"/>
    </w:rPr>
  </w:style>
  <w:style w:type="paragraph" w:styleId="4">
    <w:name w:val="heading 2"/>
    <w:basedOn w:val="2"/>
    <w:next w:val="3"/>
    <w:link w:val="17"/>
    <w:unhideWhenUsed/>
    <w:qFormat/>
    <w:uiPriority w:val="0"/>
    <w:pPr>
      <w:keepNext/>
      <w:keepLines/>
      <w:spacing w:before="100" w:beforeLines="0" w:beforeAutospacing="1" w:after="100" w:afterLines="0" w:afterAutospacing="1" w:line="560" w:lineRule="exact"/>
      <w:outlineLvl w:val="1"/>
    </w:pPr>
    <w:rPr>
      <w:rFonts w:ascii="Arial" w:hAnsi="Arial" w:eastAsia="黑体"/>
      <w:sz w:val="30"/>
    </w:rPr>
  </w:style>
  <w:style w:type="paragraph" w:styleId="5">
    <w:name w:val="heading 3"/>
    <w:basedOn w:val="4"/>
    <w:next w:val="6"/>
    <w:unhideWhenUsed/>
    <w:qFormat/>
    <w:uiPriority w:val="0"/>
    <w:pPr>
      <w:keepNext/>
      <w:keepLines/>
      <w:spacing w:before="100" w:beforeLines="0" w:beforeAutospacing="1" w:after="100" w:afterLines="0" w:afterAutospacing="1" w:line="560" w:lineRule="exact"/>
      <w:jc w:val="left"/>
      <w:outlineLvl w:val="2"/>
    </w:pPr>
    <w:rPr>
      <w:rFonts w:eastAsia="楷体" w:asciiTheme="minorAscii" w:hAnsiTheme="minorAscii"/>
      <w:sz w:val="28"/>
    </w:rPr>
  </w:style>
  <w:style w:type="paragraph" w:styleId="7">
    <w:name w:val="heading 4"/>
    <w:basedOn w:val="4"/>
    <w:next w:val="1"/>
    <w:link w:val="16"/>
    <w:unhideWhenUsed/>
    <w:qFormat/>
    <w:uiPriority w:val="0"/>
    <w:pPr>
      <w:keepNext/>
      <w:keepLines/>
      <w:spacing w:beforeLines="0" w:beforeAutospacing="1" w:afterLines="0" w:afterAutospacing="1" w:line="560" w:lineRule="exact"/>
      <w:ind w:firstLine="0" w:firstLineChars="0"/>
      <w:jc w:val="center"/>
      <w:outlineLvl w:val="3"/>
    </w:pPr>
    <w:rPr>
      <w:sz w:val="28"/>
    </w:rPr>
  </w:style>
  <w:style w:type="paragraph" w:styleId="8">
    <w:name w:val="heading 5"/>
    <w:basedOn w:val="9"/>
    <w:next w:val="1"/>
    <w:unhideWhenUsed/>
    <w:qFormat/>
    <w:uiPriority w:val="0"/>
    <w:pPr>
      <w:keepNext/>
      <w:keepLines/>
      <w:spacing w:before="100" w:beforeLines="0" w:beforeAutospacing="1" w:after="100" w:afterLines="0" w:afterAutospacing="1" w:line="240" w:lineRule="auto"/>
      <w:jc w:val="center"/>
      <w:outlineLvl w:val="4"/>
    </w:pPr>
    <w:rPr>
      <w:rFonts w:ascii="Arial" w:hAnsi="Arial" w:eastAsia="宋体"/>
      <w:sz w:val="24"/>
    </w:rPr>
  </w:style>
  <w:style w:type="paragraph" w:styleId="6">
    <w:name w:val="heading 6"/>
    <w:basedOn w:val="7"/>
    <w:next w:val="1"/>
    <w:unhideWhenUsed/>
    <w:qFormat/>
    <w:uiPriority w:val="0"/>
    <w:pPr>
      <w:keepNext/>
      <w:keepLines/>
      <w:spacing w:before="100" w:beforeLines="0" w:beforeAutospacing="1" w:after="100" w:afterLines="0" w:afterAutospacing="1" w:line="560" w:lineRule="exact"/>
      <w:jc w:val="left"/>
      <w:outlineLvl w:val="5"/>
    </w:pPr>
    <w:rPr>
      <w:rFonts w:ascii="Arial" w:hAnsi="Arial"/>
    </w:rPr>
  </w:style>
  <w:style w:type="paragraph" w:styleId="10">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paragraph" w:styleId="11">
    <w:name w:val="heading 8"/>
    <w:basedOn w:val="1"/>
    <w:next w:val="1"/>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paragraph" w:styleId="12">
    <w:name w:val="heading 9"/>
    <w:basedOn w:val="1"/>
    <w:next w:val="1"/>
    <w:unhideWhenUsed/>
    <w:qFormat/>
    <w:uiPriority w:val="0"/>
    <w:pPr>
      <w:keepNext/>
      <w:keepLines/>
      <w:spacing w:before="240" w:beforeLines="0" w:beforeAutospacing="0" w:after="64" w:afterLines="0" w:afterAutospacing="0" w:line="317" w:lineRule="auto"/>
      <w:jc w:val="center"/>
      <w:outlineLvl w:val="8"/>
    </w:pPr>
    <w:rPr>
      <w:rFonts w:ascii="Arial" w:hAnsi="Arial" w:eastAsia="黑体"/>
      <w:sz w:val="21"/>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3">
    <w:name w:val="Title"/>
    <w:basedOn w:val="1"/>
    <w:qFormat/>
    <w:uiPriority w:val="0"/>
    <w:pPr>
      <w:spacing w:before="81" w:beforeLines="0" w:beforeAutospacing="1" w:afterLines="0" w:afterAutospacing="1" w:line="600" w:lineRule="exact"/>
      <w:jc w:val="center"/>
      <w:outlineLvl w:val="0"/>
    </w:pPr>
    <w:rPr>
      <w:rFonts w:ascii="Arial" w:hAnsi="Arial"/>
      <w:b/>
      <w:sz w:val="32"/>
    </w:rPr>
  </w:style>
  <w:style w:type="paragraph" w:styleId="9">
    <w:name w:val="caption"/>
    <w:basedOn w:val="1"/>
    <w:next w:val="1"/>
    <w:unhideWhenUsed/>
    <w:qFormat/>
    <w:uiPriority w:val="0"/>
    <w:rPr>
      <w:rFonts w:ascii="Arial" w:hAnsi="Arial" w:eastAsia="黑体"/>
      <w:sz w:val="20"/>
    </w:r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标题 4 Char"/>
    <w:link w:val="7"/>
    <w:qFormat/>
    <w:uiPriority w:val="0"/>
    <w:rPr>
      <w:rFonts w:eastAsia="黑体"/>
      <w:sz w:val="28"/>
    </w:rPr>
  </w:style>
  <w:style w:type="character" w:customStyle="1" w:styleId="17">
    <w:name w:val="标题 2 Char"/>
    <w:link w:val="4"/>
    <w:qFormat/>
    <w:uiPriority w:val="0"/>
    <w:rPr>
      <w:rFonts w:ascii="Arial" w:hAnsi="Arial" w:eastAsia="黑体"/>
      <w:sz w:val="30"/>
    </w:rPr>
  </w:style>
  <w:style w:type="table" w:customStyle="1" w:styleId="18">
    <w:name w:val="无格式表格 31"/>
    <w:basedOn w:val="13"/>
    <w:qFormat/>
    <w:uiPriority w:val="0"/>
    <w:rPr>
      <w:rFonts w:hint="eastAsia" w:cs="等线"/>
    </w:rPr>
    <w:tblStylePr w:type="firstRow">
      <w:rPr>
        <w:b/>
        <w:bCs/>
        <w:caps/>
      </w:rPr>
      <w:tcPr>
        <w:tcBorders>
          <w:bottom w:val="single" w:color="7F7F7F" w:sz="4" w:space="0"/>
        </w:tcBorders>
      </w:tcPr>
    </w:tblStylePr>
    <w:tblStylePr w:type="lastRow">
      <w:rPr>
        <w:b/>
        <w:bCs/>
        <w:caps/>
      </w:rPr>
      <w:tcPr>
        <w:tcBorders>
          <w:top w:val="nil"/>
        </w:tcBorders>
      </w:tcPr>
    </w:tblStylePr>
    <w:tblStylePr w:type="firstCol">
      <w:rPr>
        <w:b/>
        <w:bCs/>
        <w:caps/>
      </w:rPr>
      <w:tcPr>
        <w:tcBorders>
          <w:right w:val="single" w:color="7F7F7F" w:sz="4" w:space="0"/>
        </w:tcBorders>
      </w:tcPr>
    </w:tblStylePr>
    <w:tblStylePr w:type="lastCol">
      <w:rPr>
        <w:b/>
        <w:bCs/>
        <w: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chart" Target="charts/chart2.xml"/><Relationship Id="rId8" Type="http://schemas.openxmlformats.org/officeDocument/2006/relationships/chart" Target="charts/chart1.xml"/><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chart" Target="charts/chart3.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86198\Desktop\&#32479;&#35745;&#24314;&#27169;\&#32479;&#35745;&#24314;&#27169;&#35770;&#25991;&#25968;&#25454;\&#35199;&#23433;&#26053;&#28216;&#26376;&#22320;&#38081;&#27969;&#37327;&#25968;&#25454;.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86198\Desktop\&#32479;&#35745;&#24314;&#27169;\&#32479;&#35745;&#24314;&#27169;&#35770;&#25991;&#25968;&#25454;\&#35199;&#23433;&#26053;&#28216;&#26376;&#22320;&#38081;&#27969;&#37327;&#25968;&#25454;.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86198\Desktop\&#32479;&#35745;&#24314;&#27169;\&#32479;&#35745;&#24314;&#27169;&#35770;&#25991;&#25968;&#25454;\&#35199;&#23433;&#24066;&#26053;&#28216;&#26376;&#25972;&#20307;&#22478;&#24066;&#31354;&#27668;&#36136;&#37327;.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80" b="1" i="0" u="none" strike="noStrike" kern="1200" baseline="0">
                <a:solidFill>
                  <a:schemeClr val="tx1">
                    <a:lumMod val="75000"/>
                    <a:lumOff val="25000"/>
                  </a:schemeClr>
                </a:solidFill>
                <a:latin typeface="+mn-lt"/>
                <a:ea typeface="+mn-ea"/>
                <a:cs typeface="+mn-cs"/>
              </a:defRPr>
            </a:pPr>
            <a:r>
              <a:rPr sz="1080"/>
              <a:t>年客流强度(万人次/公里)</a:t>
            </a:r>
            <a:endParaRPr sz="1080"/>
          </a:p>
        </c:rich>
      </c:tx>
      <c:layout/>
      <c:overlay val="0"/>
      <c:spPr>
        <a:noFill/>
        <a:ln>
          <a:noFill/>
        </a:ln>
        <a:effectLst/>
      </c:spPr>
    </c:title>
    <c:autoTitleDeleted val="0"/>
    <c:plotArea>
      <c:layout>
        <c:manualLayout>
          <c:layoutTarget val="inner"/>
          <c:xMode val="edge"/>
          <c:yMode val="edge"/>
          <c:x val="0.0800678541136556"/>
          <c:y val="0.231711711711712"/>
          <c:w val="0.884520780322307"/>
          <c:h val="0.483747747747748"/>
        </c:manualLayout>
      </c:layout>
      <c:barChart>
        <c:barDir val="col"/>
        <c:grouping val="clustered"/>
        <c:varyColors val="0"/>
        <c:ser>
          <c:idx val="0"/>
          <c:order val="0"/>
          <c:tx>
            <c:strRef>
              <c:f>"2022年"</c:f>
              <c:strCache>
                <c:ptCount val="1"/>
                <c:pt idx="0">
                  <c:v>2022年</c:v>
                </c:pt>
              </c:strCache>
            </c:strRef>
          </c:tx>
          <c:spPr>
            <a:gradFill>
              <a:gsLst>
                <a:gs pos="0">
                  <a:schemeClr val="accent1">
                    <a:lumMod val="40000"/>
                    <a:lumOff val="60000"/>
                  </a:schemeClr>
                </a:gs>
                <a:gs pos="90000">
                  <a:schemeClr val="accent1"/>
                </a:gs>
              </a:gsLst>
              <a:lin ang="5400000" scaled="0"/>
            </a:gradFill>
            <a:ln>
              <a:gradFill>
                <a:gsLst>
                  <a:gs pos="0">
                    <a:schemeClr val="accent1"/>
                  </a:gs>
                  <a:gs pos="100000">
                    <a:schemeClr val="accent1">
                      <a:lumMod val="75000"/>
                    </a:schemeClr>
                  </a:gs>
                </a:gsLst>
                <a:lin ang="5400000" scaled="1"/>
              </a:gradFill>
            </a:ln>
            <a:effectLst>
              <a:outerShdw blurRad="76200" dist="25400" dir="2700000" algn="tl" rotWithShape="0">
                <a:schemeClr val="accent1">
                  <a:lumMod val="50000"/>
                  <a:alpha val="30000"/>
                </a:schemeClr>
              </a:outerShdw>
            </a:effectLst>
          </c:spPr>
          <c:invertIfNegative val="0"/>
          <c:dLbls>
            <c:delete val="1"/>
          </c:dLbls>
          <c:cat>
            <c:strRef>
              <c:f>{"1月","7月","10月","11月","12月"}</c:f>
              <c:strCache>
                <c:ptCount val="5"/>
                <c:pt idx="0">
                  <c:v>1月</c:v>
                </c:pt>
                <c:pt idx="1">
                  <c:v>7月</c:v>
                </c:pt>
                <c:pt idx="2">
                  <c:v>10月</c:v>
                </c:pt>
                <c:pt idx="3">
                  <c:v>11月</c:v>
                </c:pt>
                <c:pt idx="4">
                  <c:v>12月</c:v>
                </c:pt>
              </c:strCache>
            </c:strRef>
          </c:cat>
          <c:val>
            <c:numRef>
              <c:f>{0,31.79,20.23,18.48,0.69}</c:f>
              <c:numCache>
                <c:formatCode>General</c:formatCode>
                <c:ptCount val="5"/>
                <c:pt idx="0">
                  <c:v>0</c:v>
                </c:pt>
                <c:pt idx="1">
                  <c:v>31.79</c:v>
                </c:pt>
                <c:pt idx="2">
                  <c:v>20.23</c:v>
                </c:pt>
                <c:pt idx="3">
                  <c:v>18.48</c:v>
                </c:pt>
                <c:pt idx="4">
                  <c:v>0.69</c:v>
                </c:pt>
              </c:numCache>
            </c:numRef>
          </c:val>
        </c:ser>
        <c:ser>
          <c:idx val="1"/>
          <c:order val="1"/>
          <c:tx>
            <c:strRef>
              <c:f>"2023年"</c:f>
              <c:strCache>
                <c:ptCount val="1"/>
                <c:pt idx="0">
                  <c:v>2023年</c:v>
                </c:pt>
              </c:strCache>
            </c:strRef>
          </c:tx>
          <c:spPr>
            <a:gradFill>
              <a:gsLst>
                <a:gs pos="0">
                  <a:schemeClr val="accent2">
                    <a:lumMod val="40000"/>
                    <a:lumOff val="60000"/>
                  </a:schemeClr>
                </a:gs>
                <a:gs pos="90000">
                  <a:schemeClr val="accent2"/>
                </a:gs>
              </a:gsLst>
              <a:lin ang="5400000" scaled="0"/>
            </a:gradFill>
            <a:ln>
              <a:gradFill>
                <a:gsLst>
                  <a:gs pos="0">
                    <a:schemeClr val="accent2"/>
                  </a:gs>
                  <a:gs pos="100000">
                    <a:schemeClr val="accent2">
                      <a:lumMod val="75000"/>
                    </a:schemeClr>
                  </a:gs>
                </a:gsLst>
                <a:lin ang="5400000" scaled="1"/>
              </a:gradFill>
            </a:ln>
            <a:effectLst>
              <a:outerShdw blurRad="76200" dist="25400" dir="2700000" algn="tl" rotWithShape="0">
                <a:schemeClr val="accent2">
                  <a:lumMod val="50000"/>
                  <a:alpha val="30000"/>
                </a:schemeClr>
              </a:outerShdw>
            </a:effectLst>
          </c:spPr>
          <c:invertIfNegative val="0"/>
          <c:dLbls>
            <c:delete val="1"/>
          </c:dLbls>
          <c:cat>
            <c:strRef>
              <c:f>{"1月","7月","10月","11月","12月"}</c:f>
              <c:strCache>
                <c:ptCount val="5"/>
                <c:pt idx="0">
                  <c:v>1月</c:v>
                </c:pt>
                <c:pt idx="1">
                  <c:v>7月</c:v>
                </c:pt>
                <c:pt idx="2">
                  <c:v>10月</c:v>
                </c:pt>
                <c:pt idx="3">
                  <c:v>11月</c:v>
                </c:pt>
                <c:pt idx="4">
                  <c:v>12月</c:v>
                </c:pt>
              </c:strCache>
            </c:strRef>
          </c:cat>
          <c:val>
            <c:numRef>
              <c:f>{26.25,40.43,36.18,0,35.89}</c:f>
              <c:numCache>
                <c:formatCode>General</c:formatCode>
                <c:ptCount val="5"/>
                <c:pt idx="0">
                  <c:v>26.25</c:v>
                </c:pt>
                <c:pt idx="1">
                  <c:v>40.43</c:v>
                </c:pt>
                <c:pt idx="2">
                  <c:v>36.18</c:v>
                </c:pt>
                <c:pt idx="3">
                  <c:v>0</c:v>
                </c:pt>
                <c:pt idx="4">
                  <c:v>35.89</c:v>
                </c:pt>
              </c:numCache>
            </c:numRef>
          </c:val>
        </c:ser>
        <c:ser>
          <c:idx val="2"/>
          <c:order val="2"/>
          <c:tx>
            <c:strRef>
              <c:f>"2024年"</c:f>
              <c:strCache>
                <c:ptCount val="1"/>
                <c:pt idx="0">
                  <c:v>2024年</c:v>
                </c:pt>
              </c:strCache>
            </c:strRef>
          </c:tx>
          <c:spPr>
            <a:gradFill>
              <a:gsLst>
                <a:gs pos="0">
                  <a:schemeClr val="accent3">
                    <a:lumMod val="40000"/>
                    <a:lumOff val="60000"/>
                  </a:schemeClr>
                </a:gs>
                <a:gs pos="90000">
                  <a:schemeClr val="accent3"/>
                </a:gs>
              </a:gsLst>
              <a:lin ang="5400000" scaled="0"/>
            </a:gradFill>
            <a:ln>
              <a:gradFill>
                <a:gsLst>
                  <a:gs pos="0">
                    <a:schemeClr val="accent3"/>
                  </a:gs>
                  <a:gs pos="100000">
                    <a:schemeClr val="accent3">
                      <a:lumMod val="75000"/>
                    </a:schemeClr>
                  </a:gs>
                </a:gsLst>
                <a:lin ang="5400000" scaled="1"/>
              </a:gradFill>
            </a:ln>
            <a:effectLst>
              <a:outerShdw blurRad="76200" dist="25400" dir="2700000" algn="tl" rotWithShape="0">
                <a:schemeClr val="accent3">
                  <a:lumMod val="50000"/>
                  <a:alpha val="30000"/>
                </a:schemeClr>
              </a:outerShdw>
            </a:effectLst>
          </c:spPr>
          <c:invertIfNegative val="0"/>
          <c:dLbls>
            <c:delete val="1"/>
          </c:dLbls>
          <c:cat>
            <c:strRef>
              <c:f>{"1月","7月","10月","11月","12月"}</c:f>
              <c:strCache>
                <c:ptCount val="5"/>
                <c:pt idx="0">
                  <c:v>1月</c:v>
                </c:pt>
                <c:pt idx="1">
                  <c:v>7月</c:v>
                </c:pt>
                <c:pt idx="2">
                  <c:v>10月</c:v>
                </c:pt>
                <c:pt idx="3">
                  <c:v>11月</c:v>
                </c:pt>
                <c:pt idx="4">
                  <c:v>12月</c:v>
                </c:pt>
              </c:strCache>
            </c:strRef>
          </c:cat>
          <c:val>
            <c:numRef>
              <c:f>{37.32,29.63,31.83,0,30.27}</c:f>
              <c:numCache>
                <c:formatCode>General</c:formatCode>
                <c:ptCount val="5"/>
                <c:pt idx="0">
                  <c:v>37.32</c:v>
                </c:pt>
                <c:pt idx="1">
                  <c:v>29.63</c:v>
                </c:pt>
                <c:pt idx="2">
                  <c:v>31.83</c:v>
                </c:pt>
                <c:pt idx="3">
                  <c:v>0</c:v>
                </c:pt>
                <c:pt idx="4">
                  <c:v>30.27</c:v>
                </c:pt>
              </c:numCache>
            </c:numRef>
          </c:val>
        </c:ser>
        <c:ser>
          <c:idx val="3"/>
          <c:order val="3"/>
          <c:tx>
            <c:strRef>
              <c:f>"2025年"</c:f>
              <c:strCache>
                <c:ptCount val="1"/>
                <c:pt idx="0">
                  <c:v>2025年</c:v>
                </c:pt>
              </c:strCache>
            </c:strRef>
          </c:tx>
          <c:spPr>
            <a:gradFill>
              <a:gsLst>
                <a:gs pos="0">
                  <a:schemeClr val="accent4">
                    <a:lumMod val="40000"/>
                    <a:lumOff val="60000"/>
                  </a:schemeClr>
                </a:gs>
                <a:gs pos="90000">
                  <a:schemeClr val="accent4"/>
                </a:gs>
              </a:gsLst>
              <a:lin ang="5400000" scaled="0"/>
            </a:gradFill>
            <a:ln>
              <a:gradFill>
                <a:gsLst>
                  <a:gs pos="0">
                    <a:schemeClr val="accent4"/>
                  </a:gs>
                  <a:gs pos="100000">
                    <a:schemeClr val="accent4">
                      <a:lumMod val="75000"/>
                    </a:schemeClr>
                  </a:gs>
                </a:gsLst>
                <a:lin ang="5400000" scaled="1"/>
              </a:gradFill>
            </a:ln>
            <a:effectLst>
              <a:outerShdw blurRad="76200" dist="25400" dir="2700000" algn="tl" rotWithShape="0">
                <a:schemeClr val="accent4">
                  <a:lumMod val="50000"/>
                  <a:alpha val="30000"/>
                </a:schemeClr>
              </a:outerShdw>
            </a:effectLst>
          </c:spPr>
          <c:invertIfNegative val="0"/>
          <c:dLbls>
            <c:delete val="1"/>
          </c:dLbls>
          <c:cat>
            <c:strRef>
              <c:f>{"1月","7月","10月","11月","12月"}</c:f>
              <c:strCache>
                <c:ptCount val="5"/>
                <c:pt idx="0">
                  <c:v>1月</c:v>
                </c:pt>
                <c:pt idx="1">
                  <c:v>7月</c:v>
                </c:pt>
                <c:pt idx="2">
                  <c:v>10月</c:v>
                </c:pt>
                <c:pt idx="3">
                  <c:v>11月</c:v>
                </c:pt>
                <c:pt idx="4">
                  <c:v>12月</c:v>
                </c:pt>
              </c:strCache>
            </c:strRef>
          </c:cat>
          <c:val>
            <c:numRef>
              <c:f>{16.51,0,0,0,0}</c:f>
              <c:numCache>
                <c:formatCode>General</c:formatCode>
                <c:ptCount val="5"/>
                <c:pt idx="0">
                  <c:v>16.51</c:v>
                </c:pt>
                <c:pt idx="1">
                  <c:v>0</c:v>
                </c:pt>
                <c:pt idx="2">
                  <c:v>0</c:v>
                </c:pt>
                <c:pt idx="3">
                  <c:v>0</c:v>
                </c:pt>
                <c:pt idx="4">
                  <c:v>0</c:v>
                </c:pt>
              </c:numCache>
            </c:numRef>
          </c:val>
        </c:ser>
        <c:dLbls>
          <c:showLegendKey val="0"/>
          <c:showVal val="0"/>
          <c:showCatName val="0"/>
          <c:showSerName val="0"/>
          <c:showPercent val="0"/>
          <c:showBubbleSize val="0"/>
        </c:dLbls>
        <c:gapWidth val="246"/>
        <c:overlap val="-28"/>
        <c:axId val="900497193"/>
        <c:axId val="759255226"/>
      </c:barChart>
      <c:catAx>
        <c:axId val="900497193"/>
        <c:scaling>
          <c:orientation val="minMax"/>
        </c:scaling>
        <c:delete val="0"/>
        <c:axPos val="b"/>
        <c:majorTickMark val="none"/>
        <c:minorTickMark val="none"/>
        <c:tickLblPos val="low"/>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59255226"/>
        <c:crosses val="autoZero"/>
        <c:auto val="1"/>
        <c:lblAlgn val="ctr"/>
        <c:lblOffset val="100"/>
        <c:noMultiLvlLbl val="0"/>
      </c:catAx>
      <c:valAx>
        <c:axId val="759255226"/>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00497193"/>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3b0f643-fed5-4b1d-b750-09ecfd89717b}"/>
      </c:ext>
    </c:extLst>
  </c:chart>
  <c:spPr>
    <a:solidFill>
      <a:schemeClr val="bg1"/>
    </a:solidFill>
    <a:ln w="9525" cap="flat" cmpd="sng" algn="ctr">
      <a:solidFill>
        <a:schemeClr val="tx1">
          <a:lumMod val="15000"/>
          <a:lumOff val="85000"/>
        </a:schemeClr>
      </a:solidFill>
      <a:round/>
    </a:ln>
    <a:effectLst/>
  </c:spPr>
  <c:txPr>
    <a:bodyPr/>
    <a:lstStyle/>
    <a:p>
      <a:pPr>
        <a:defRPr lang="zh-CN" sz="900"/>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sz="1050"/>
              <a:t>年西安地铁客运量(万人次)</a:t>
            </a:r>
            <a:endParaRPr sz="1050"/>
          </a:p>
        </c:rich>
      </c:tx>
      <c:layout>
        <c:manualLayout>
          <c:xMode val="edge"/>
          <c:yMode val="edge"/>
          <c:x val="0.258381101268022"/>
          <c:y val="0.0537383177570093"/>
        </c:manualLayout>
      </c:layout>
      <c:overlay val="0"/>
      <c:spPr>
        <a:noFill/>
        <a:ln>
          <a:noFill/>
        </a:ln>
        <a:effectLst/>
      </c:spPr>
    </c:title>
    <c:autoTitleDeleted val="0"/>
    <c:plotArea>
      <c:layout>
        <c:manualLayout>
          <c:layoutTarget val="inner"/>
          <c:xMode val="edge"/>
          <c:yMode val="edge"/>
          <c:x val="0.124127149557061"/>
          <c:y val="0.203271028037383"/>
          <c:w val="0.836616293208268"/>
          <c:h val="0.522605140186916"/>
        </c:manualLayout>
      </c:layout>
      <c:barChart>
        <c:barDir val="col"/>
        <c:grouping val="clustered"/>
        <c:varyColors val="0"/>
        <c:ser>
          <c:idx val="0"/>
          <c:order val="0"/>
          <c:tx>
            <c:strRef>
              <c:f>"2022年"</c:f>
              <c:strCache>
                <c:ptCount val="1"/>
                <c:pt idx="0">
                  <c:v>2022年</c:v>
                </c:pt>
              </c:strCache>
            </c:strRef>
          </c:tx>
          <c:spPr>
            <a:gradFill>
              <a:gsLst>
                <a:gs pos="0">
                  <a:schemeClr val="accent1">
                    <a:lumMod val="40000"/>
                    <a:lumOff val="60000"/>
                  </a:schemeClr>
                </a:gs>
                <a:gs pos="90000">
                  <a:schemeClr val="accent1"/>
                </a:gs>
              </a:gsLst>
              <a:lin ang="5400000" scaled="0"/>
            </a:gradFill>
            <a:ln>
              <a:gradFill>
                <a:gsLst>
                  <a:gs pos="0">
                    <a:schemeClr val="accent1"/>
                  </a:gs>
                  <a:gs pos="100000">
                    <a:schemeClr val="accent1">
                      <a:lumMod val="75000"/>
                    </a:schemeClr>
                  </a:gs>
                </a:gsLst>
                <a:lin ang="5400000" scaled="1"/>
              </a:gradFill>
            </a:ln>
            <a:effectLst>
              <a:outerShdw blurRad="76200" dist="25400" dir="2700000" algn="tl" rotWithShape="0">
                <a:schemeClr val="accent1">
                  <a:lumMod val="50000"/>
                  <a:alpha val="30000"/>
                </a:schemeClr>
              </a:outerShdw>
            </a:effectLst>
          </c:spPr>
          <c:invertIfNegative val="0"/>
          <c:dLbls>
            <c:delete val="1"/>
          </c:dLbls>
          <c:cat>
            <c:strRef>
              <c:f>{"1月","7月","10月","11月","12月"}</c:f>
              <c:strCache>
                <c:ptCount val="5"/>
                <c:pt idx="0">
                  <c:v>1月</c:v>
                </c:pt>
                <c:pt idx="1">
                  <c:v>7月</c:v>
                </c:pt>
                <c:pt idx="2">
                  <c:v>10月</c:v>
                </c:pt>
                <c:pt idx="3">
                  <c:v>11月</c:v>
                </c:pt>
                <c:pt idx="4">
                  <c:v>12月</c:v>
                </c:pt>
              </c:strCache>
            </c:strRef>
          </c:cat>
          <c:val>
            <c:numRef>
              <c:f>{0,8197.13,5352.85,4872.94,190.34}</c:f>
              <c:numCache>
                <c:formatCode>General</c:formatCode>
                <c:ptCount val="5"/>
                <c:pt idx="0">
                  <c:v>0</c:v>
                </c:pt>
                <c:pt idx="1">
                  <c:v>8197.13</c:v>
                </c:pt>
                <c:pt idx="2">
                  <c:v>5352.85</c:v>
                </c:pt>
                <c:pt idx="3">
                  <c:v>4872.94</c:v>
                </c:pt>
                <c:pt idx="4">
                  <c:v>190.34</c:v>
                </c:pt>
              </c:numCache>
            </c:numRef>
          </c:val>
        </c:ser>
        <c:ser>
          <c:idx val="1"/>
          <c:order val="1"/>
          <c:tx>
            <c:strRef>
              <c:f>"2023年"</c:f>
              <c:strCache>
                <c:ptCount val="1"/>
                <c:pt idx="0">
                  <c:v>2023年</c:v>
                </c:pt>
              </c:strCache>
            </c:strRef>
          </c:tx>
          <c:spPr>
            <a:gradFill>
              <a:gsLst>
                <a:gs pos="0">
                  <a:schemeClr val="accent2">
                    <a:lumMod val="40000"/>
                    <a:lumOff val="60000"/>
                  </a:schemeClr>
                </a:gs>
                <a:gs pos="90000">
                  <a:schemeClr val="accent2"/>
                </a:gs>
              </a:gsLst>
              <a:lin ang="5400000" scaled="0"/>
            </a:gradFill>
            <a:ln>
              <a:gradFill>
                <a:gsLst>
                  <a:gs pos="0">
                    <a:schemeClr val="accent2"/>
                  </a:gs>
                  <a:gs pos="100000">
                    <a:schemeClr val="accent2">
                      <a:lumMod val="75000"/>
                    </a:schemeClr>
                  </a:gs>
                </a:gsLst>
                <a:lin ang="5400000" scaled="1"/>
              </a:gradFill>
            </a:ln>
            <a:effectLst>
              <a:outerShdw blurRad="76200" dist="25400" dir="2700000" algn="tl" rotWithShape="0">
                <a:schemeClr val="accent2">
                  <a:lumMod val="50000"/>
                  <a:alpha val="30000"/>
                </a:schemeClr>
              </a:outerShdw>
            </a:effectLst>
          </c:spPr>
          <c:invertIfNegative val="0"/>
          <c:dLbls>
            <c:delete val="1"/>
          </c:dLbls>
          <c:cat>
            <c:strRef>
              <c:f>{"1月","7月","10月","11月","12月"}</c:f>
              <c:strCache>
                <c:ptCount val="5"/>
                <c:pt idx="0">
                  <c:v>1月</c:v>
                </c:pt>
                <c:pt idx="1">
                  <c:v>7月</c:v>
                </c:pt>
                <c:pt idx="2">
                  <c:v>10月</c:v>
                </c:pt>
                <c:pt idx="3">
                  <c:v>11月</c:v>
                </c:pt>
                <c:pt idx="4">
                  <c:v>12月</c:v>
                </c:pt>
              </c:strCache>
            </c:strRef>
          </c:cat>
          <c:val>
            <c:numRef>
              <c:f>{7317.69,12169,11623.2,0,11173.3}</c:f>
              <c:numCache>
                <c:formatCode>General</c:formatCode>
                <c:ptCount val="5"/>
                <c:pt idx="0">
                  <c:v>7317.69</c:v>
                </c:pt>
                <c:pt idx="1">
                  <c:v>12169</c:v>
                </c:pt>
                <c:pt idx="2">
                  <c:v>11623.2</c:v>
                </c:pt>
                <c:pt idx="3">
                  <c:v>0</c:v>
                </c:pt>
                <c:pt idx="4">
                  <c:v>11173.3</c:v>
                </c:pt>
              </c:numCache>
            </c:numRef>
          </c:val>
        </c:ser>
        <c:ser>
          <c:idx val="2"/>
          <c:order val="2"/>
          <c:tx>
            <c:strRef>
              <c:f>"2024年"</c:f>
              <c:strCache>
                <c:ptCount val="1"/>
                <c:pt idx="0">
                  <c:v>2024年</c:v>
                </c:pt>
              </c:strCache>
            </c:strRef>
          </c:tx>
          <c:spPr>
            <a:gradFill>
              <a:gsLst>
                <a:gs pos="0">
                  <a:schemeClr val="accent3">
                    <a:lumMod val="40000"/>
                    <a:lumOff val="60000"/>
                  </a:schemeClr>
                </a:gs>
                <a:gs pos="90000">
                  <a:schemeClr val="accent3"/>
                </a:gs>
              </a:gsLst>
              <a:lin ang="5400000" scaled="0"/>
            </a:gradFill>
            <a:ln>
              <a:gradFill>
                <a:gsLst>
                  <a:gs pos="0">
                    <a:schemeClr val="accent3"/>
                  </a:gs>
                  <a:gs pos="100000">
                    <a:schemeClr val="accent3">
                      <a:lumMod val="75000"/>
                    </a:schemeClr>
                  </a:gs>
                </a:gsLst>
                <a:lin ang="5400000" scaled="1"/>
              </a:gradFill>
            </a:ln>
            <a:effectLst>
              <a:outerShdw blurRad="76200" dist="25400" dir="2700000" algn="tl" rotWithShape="0">
                <a:schemeClr val="accent3">
                  <a:lumMod val="50000"/>
                  <a:alpha val="30000"/>
                </a:schemeClr>
              </a:outerShdw>
            </a:effectLst>
          </c:spPr>
          <c:invertIfNegative val="0"/>
          <c:dLbls>
            <c:delete val="1"/>
          </c:dLbls>
          <c:cat>
            <c:strRef>
              <c:f>{"1月","7月","10月","11月","12月"}</c:f>
              <c:strCache>
                <c:ptCount val="5"/>
                <c:pt idx="0">
                  <c:v>1月</c:v>
                </c:pt>
                <c:pt idx="1">
                  <c:v>7月</c:v>
                </c:pt>
                <c:pt idx="2">
                  <c:v>10月</c:v>
                </c:pt>
                <c:pt idx="3">
                  <c:v>11月</c:v>
                </c:pt>
                <c:pt idx="4">
                  <c:v>12月</c:v>
                </c:pt>
              </c:strCache>
            </c:strRef>
          </c:cat>
          <c:val>
            <c:numRef>
              <c:f>{11615.3,12577.3,12091.2,0,12208.4}</c:f>
              <c:numCache>
                <c:formatCode>General</c:formatCode>
                <c:ptCount val="5"/>
                <c:pt idx="0">
                  <c:v>11615.3</c:v>
                </c:pt>
                <c:pt idx="1">
                  <c:v>12577.3</c:v>
                </c:pt>
                <c:pt idx="2">
                  <c:v>12091.2</c:v>
                </c:pt>
                <c:pt idx="3">
                  <c:v>0</c:v>
                </c:pt>
                <c:pt idx="4">
                  <c:v>12208.4</c:v>
                </c:pt>
              </c:numCache>
            </c:numRef>
          </c:val>
        </c:ser>
        <c:ser>
          <c:idx val="3"/>
          <c:order val="3"/>
          <c:tx>
            <c:strRef>
              <c:f>"2025年"</c:f>
              <c:strCache>
                <c:ptCount val="1"/>
                <c:pt idx="0">
                  <c:v>2025年</c:v>
                </c:pt>
              </c:strCache>
            </c:strRef>
          </c:tx>
          <c:spPr>
            <a:gradFill>
              <a:gsLst>
                <a:gs pos="0">
                  <a:schemeClr val="accent4">
                    <a:lumMod val="40000"/>
                    <a:lumOff val="60000"/>
                  </a:schemeClr>
                </a:gs>
                <a:gs pos="90000">
                  <a:schemeClr val="accent4"/>
                </a:gs>
              </a:gsLst>
              <a:lin ang="5400000" scaled="0"/>
            </a:gradFill>
            <a:ln>
              <a:gradFill>
                <a:gsLst>
                  <a:gs pos="0">
                    <a:schemeClr val="accent4"/>
                  </a:gs>
                  <a:gs pos="100000">
                    <a:schemeClr val="accent4">
                      <a:lumMod val="75000"/>
                    </a:schemeClr>
                  </a:gs>
                </a:gsLst>
                <a:lin ang="5400000" scaled="1"/>
              </a:gradFill>
            </a:ln>
            <a:effectLst>
              <a:outerShdw blurRad="76200" dist="25400" dir="2700000" algn="tl" rotWithShape="0">
                <a:schemeClr val="accent4">
                  <a:lumMod val="50000"/>
                  <a:alpha val="30000"/>
                </a:schemeClr>
              </a:outerShdw>
            </a:effectLst>
          </c:spPr>
          <c:invertIfNegative val="0"/>
          <c:dLbls>
            <c:delete val="1"/>
          </c:dLbls>
          <c:cat>
            <c:strRef>
              <c:f>{"1月","7月","10月","11月","12月"}</c:f>
              <c:strCache>
                <c:ptCount val="5"/>
                <c:pt idx="0">
                  <c:v>1月</c:v>
                </c:pt>
                <c:pt idx="1">
                  <c:v>7月</c:v>
                </c:pt>
                <c:pt idx="2">
                  <c:v>10月</c:v>
                </c:pt>
                <c:pt idx="3">
                  <c:v>11月</c:v>
                </c:pt>
                <c:pt idx="4">
                  <c:v>12月</c:v>
                </c:pt>
              </c:strCache>
            </c:strRef>
          </c:cat>
          <c:val>
            <c:numRef>
              <c:f>{6708.2,0,0,0,0}</c:f>
              <c:numCache>
                <c:formatCode>General</c:formatCode>
                <c:ptCount val="5"/>
                <c:pt idx="0">
                  <c:v>6708.2</c:v>
                </c:pt>
                <c:pt idx="1">
                  <c:v>0</c:v>
                </c:pt>
                <c:pt idx="2">
                  <c:v>0</c:v>
                </c:pt>
                <c:pt idx="3">
                  <c:v>0</c:v>
                </c:pt>
                <c:pt idx="4">
                  <c:v>0</c:v>
                </c:pt>
              </c:numCache>
            </c:numRef>
          </c:val>
        </c:ser>
        <c:dLbls>
          <c:showLegendKey val="0"/>
          <c:showVal val="0"/>
          <c:showCatName val="0"/>
          <c:showSerName val="0"/>
          <c:showPercent val="0"/>
          <c:showBubbleSize val="0"/>
        </c:dLbls>
        <c:gapWidth val="246"/>
        <c:overlap val="-28"/>
        <c:axId val="532241825"/>
        <c:axId val="668473257"/>
      </c:barChart>
      <c:catAx>
        <c:axId val="532241825"/>
        <c:scaling>
          <c:orientation val="minMax"/>
        </c:scaling>
        <c:delete val="0"/>
        <c:axPos val="b"/>
        <c:majorTickMark val="none"/>
        <c:minorTickMark val="none"/>
        <c:tickLblPos val="low"/>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68473257"/>
        <c:crosses val="autoZero"/>
        <c:auto val="1"/>
        <c:lblAlgn val="ctr"/>
        <c:lblOffset val="100"/>
        <c:noMultiLvlLbl val="0"/>
      </c:catAx>
      <c:valAx>
        <c:axId val="668473257"/>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32241825"/>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f829a43-fb14-4792-9c61-0b46955204f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sz="1050"/>
              <a:t>2022年1月至2024年12月AQI的月环比</a:t>
            </a:r>
            <a:endParaRPr sz="1050"/>
          </a:p>
        </c:rich>
      </c:tx>
      <c:layout/>
      <c:overlay val="0"/>
      <c:spPr>
        <a:noFill/>
        <a:ln>
          <a:noFill/>
        </a:ln>
        <a:effectLst/>
      </c:spPr>
    </c:title>
    <c:autoTitleDeleted val="0"/>
    <c:plotArea>
      <c:layout/>
      <c:barChart>
        <c:barDir val="col"/>
        <c:grouping val="clustered"/>
        <c:varyColors val="0"/>
        <c:ser>
          <c:idx val="0"/>
          <c:order val="0"/>
          <c:tx>
            <c:strRef>
              <c:f>"AQI"</c:f>
              <c:strCache>
                <c:ptCount val="1"/>
                <c:pt idx="0">
                  <c:v>AQI</c:v>
                </c:pt>
              </c:strCache>
            </c:strRef>
          </c:tx>
          <c:spPr>
            <a:gradFill>
              <a:gsLst>
                <a:gs pos="0">
                  <a:schemeClr val="accent1">
                    <a:lumMod val="40000"/>
                    <a:lumOff val="60000"/>
                  </a:schemeClr>
                </a:gs>
                <a:gs pos="90000">
                  <a:schemeClr val="accent1"/>
                </a:gs>
              </a:gsLst>
              <a:lin ang="5400000" scaled="0"/>
            </a:gradFill>
            <a:ln>
              <a:gradFill>
                <a:gsLst>
                  <a:gs pos="0">
                    <a:schemeClr val="accent1"/>
                  </a:gs>
                  <a:gs pos="100000">
                    <a:schemeClr val="accent1">
                      <a:lumMod val="75000"/>
                    </a:schemeClr>
                  </a:gs>
                </a:gsLst>
                <a:lin ang="5160000" scaled="1"/>
              </a:gradFill>
            </a:ln>
            <a:effectLst>
              <a:outerShdw blurRad="76200" dist="25400" dir="2700000" algn="tl" rotWithShape="0">
                <a:schemeClr val="accent1">
                  <a:lumMod val="50000"/>
                  <a:alpha val="30000"/>
                </a:schemeClr>
              </a:outerShdw>
            </a:effectLst>
          </c:spPr>
          <c:invertIfNegative val="0"/>
          <c:dLbls>
            <c:delete val="1"/>
          </c:dLbls>
          <c:cat>
            <c:strRef>
              <c:f>{"2022年1月","2022年7月","2022年10月","2022年12月","2023年1月","2023年7月","2023年10月","2023年12月","2024年1月","2024年7月","2024年10月","2024年12月"}</c:f>
              <c:strCache>
                <c:ptCount val="12"/>
                <c:pt idx="0">
                  <c:v>2022年1月</c:v>
                </c:pt>
                <c:pt idx="1">
                  <c:v>2022年7月</c:v>
                </c:pt>
                <c:pt idx="2">
                  <c:v>2022年10月</c:v>
                </c:pt>
                <c:pt idx="3">
                  <c:v>2022年12月</c:v>
                </c:pt>
                <c:pt idx="4">
                  <c:v>2023年1月</c:v>
                </c:pt>
                <c:pt idx="5">
                  <c:v>2023年7月</c:v>
                </c:pt>
                <c:pt idx="6">
                  <c:v>2023年10月</c:v>
                </c:pt>
                <c:pt idx="7">
                  <c:v>2023年12月</c:v>
                </c:pt>
                <c:pt idx="8">
                  <c:v>2024年1月</c:v>
                </c:pt>
                <c:pt idx="9">
                  <c:v>2024年7月</c:v>
                </c:pt>
                <c:pt idx="10">
                  <c:v>2024年10月</c:v>
                </c:pt>
                <c:pt idx="11">
                  <c:v>2024年12月</c:v>
                </c:pt>
              </c:strCache>
            </c:strRef>
          </c:cat>
          <c:val>
            <c:numRef>
              <c:f>{4534,3028,2139,3913,5132,3210,1824,3543,3498,2232,2294,2592}</c:f>
              <c:numCache>
                <c:formatCode>General</c:formatCode>
                <c:ptCount val="12"/>
                <c:pt idx="0">
                  <c:v>4534</c:v>
                </c:pt>
                <c:pt idx="1">
                  <c:v>3028</c:v>
                </c:pt>
                <c:pt idx="2">
                  <c:v>2139</c:v>
                </c:pt>
                <c:pt idx="3">
                  <c:v>3913</c:v>
                </c:pt>
                <c:pt idx="4">
                  <c:v>5132</c:v>
                </c:pt>
                <c:pt idx="5">
                  <c:v>3210</c:v>
                </c:pt>
                <c:pt idx="6">
                  <c:v>1824</c:v>
                </c:pt>
                <c:pt idx="7">
                  <c:v>3543</c:v>
                </c:pt>
                <c:pt idx="8">
                  <c:v>3498</c:v>
                </c:pt>
                <c:pt idx="9">
                  <c:v>2232</c:v>
                </c:pt>
                <c:pt idx="10">
                  <c:v>2294</c:v>
                </c:pt>
                <c:pt idx="11">
                  <c:v>2592</c:v>
                </c:pt>
              </c:numCache>
            </c:numRef>
          </c:val>
        </c:ser>
        <c:dLbls>
          <c:showLegendKey val="0"/>
          <c:showVal val="0"/>
          <c:showCatName val="0"/>
          <c:showSerName val="0"/>
          <c:showPercent val="0"/>
          <c:showBubbleSize val="0"/>
        </c:dLbls>
        <c:gapWidth val="219"/>
        <c:overlap val="-27"/>
        <c:axId val="826431496"/>
        <c:axId val="335858758"/>
      </c:barChart>
      <c:lineChart>
        <c:grouping val="standard"/>
        <c:varyColors val="0"/>
        <c:ser>
          <c:idx val="1"/>
          <c:order val="1"/>
          <c:tx>
            <c:strRef>
              <c:f>"月环比"</c:f>
              <c:strCache>
                <c:ptCount val="1"/>
                <c:pt idx="0">
                  <c:v>月环比</c:v>
                </c:pt>
              </c:strCache>
            </c:strRef>
          </c:tx>
          <c:spPr>
            <a:ln w="28575" cap="rnd">
              <a:solidFill>
                <a:schemeClr val="accent2"/>
              </a:solidFill>
              <a:round/>
            </a:ln>
            <a:effectLst>
              <a:outerShdw blurRad="76200" dist="25400" dir="2700000" algn="tl" rotWithShape="0">
                <a:schemeClr val="accent2">
                  <a:lumMod val="50000"/>
                  <a:alpha val="30000"/>
                </a:schemeClr>
              </a:outerShdw>
            </a:effectLst>
          </c:spPr>
          <c:marker>
            <c:symbol val="none"/>
          </c:marker>
          <c:dLbls>
            <c:delete val="1"/>
          </c:dLbls>
          <c:cat>
            <c:strRef>
              <c:f>{"2022年1月","2022年7月","2022年10月","2022年12月","2023年1月","2023年7月","2023年10月","2023年12月","2024年1月","2024年7月","2024年10月","2024年12月"}</c:f>
              <c:strCache>
                <c:ptCount val="12"/>
                <c:pt idx="0">
                  <c:v>2022年1月</c:v>
                </c:pt>
                <c:pt idx="1">
                  <c:v>2022年7月</c:v>
                </c:pt>
                <c:pt idx="2">
                  <c:v>2022年10月</c:v>
                </c:pt>
                <c:pt idx="3">
                  <c:v>2022年12月</c:v>
                </c:pt>
                <c:pt idx="4">
                  <c:v>2023年1月</c:v>
                </c:pt>
                <c:pt idx="5">
                  <c:v>2023年7月</c:v>
                </c:pt>
                <c:pt idx="6">
                  <c:v>2023年10月</c:v>
                </c:pt>
                <c:pt idx="7">
                  <c:v>2023年12月</c:v>
                </c:pt>
                <c:pt idx="8">
                  <c:v>2024年1月</c:v>
                </c:pt>
                <c:pt idx="9">
                  <c:v>2024年7月</c:v>
                </c:pt>
                <c:pt idx="10">
                  <c:v>2024年10月</c:v>
                </c:pt>
                <c:pt idx="11">
                  <c:v>2024年12月</c:v>
                </c:pt>
              </c:strCache>
            </c:strRef>
          </c:cat>
          <c:val>
            <c:numRef>
              <c:f>{0,-0.33,-0.29,0.83,0.31,-0.37,-0.43,0.94,-0.01,-0.36,0.03,0.13}</c:f>
              <c:numCache>
                <c:formatCode>General</c:formatCode>
                <c:ptCount val="12"/>
                <c:pt idx="0">
                  <c:v>0</c:v>
                </c:pt>
                <c:pt idx="1">
                  <c:v>-0.33</c:v>
                </c:pt>
                <c:pt idx="2">
                  <c:v>-0.29</c:v>
                </c:pt>
                <c:pt idx="3">
                  <c:v>0.83</c:v>
                </c:pt>
                <c:pt idx="4">
                  <c:v>0.31</c:v>
                </c:pt>
                <c:pt idx="5">
                  <c:v>-0.37</c:v>
                </c:pt>
                <c:pt idx="6">
                  <c:v>-0.43</c:v>
                </c:pt>
                <c:pt idx="7">
                  <c:v>0.94</c:v>
                </c:pt>
                <c:pt idx="8">
                  <c:v>-0.01</c:v>
                </c:pt>
                <c:pt idx="9">
                  <c:v>-0.36</c:v>
                </c:pt>
                <c:pt idx="10">
                  <c:v>0.03</c:v>
                </c:pt>
                <c:pt idx="11">
                  <c:v>0.13</c:v>
                </c:pt>
              </c:numCache>
            </c:numRef>
          </c:val>
          <c:smooth val="0"/>
        </c:ser>
        <c:dLbls>
          <c:showLegendKey val="0"/>
          <c:showVal val="0"/>
          <c:showCatName val="0"/>
          <c:showSerName val="0"/>
          <c:showPercent val="0"/>
          <c:showBubbleSize val="0"/>
        </c:dLbls>
        <c:marker val="0"/>
        <c:smooth val="0"/>
        <c:axId val="726055079"/>
        <c:axId val="700583905"/>
      </c:lineChart>
      <c:catAx>
        <c:axId val="82643149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35858758"/>
        <c:crosses val="autoZero"/>
        <c:auto val="1"/>
        <c:lblAlgn val="ctr"/>
        <c:lblOffset val="100"/>
        <c:noMultiLvlLbl val="0"/>
      </c:catAx>
      <c:valAx>
        <c:axId val="335858758"/>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26431496"/>
        <c:crosses val="autoZero"/>
        <c:crossBetween val="between"/>
      </c:valAx>
      <c:catAx>
        <c:axId val="726055079"/>
        <c:scaling>
          <c:orientation val="minMax"/>
        </c:scaling>
        <c:delete val="1"/>
        <c:axPos val="b"/>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00583905"/>
        <c:crosses val="autoZero"/>
        <c:auto val="1"/>
        <c:lblAlgn val="ctr"/>
        <c:lblOffset val="100"/>
        <c:noMultiLvlLbl val="0"/>
      </c:catAx>
      <c:valAx>
        <c:axId val="700583905"/>
        <c:scaling>
          <c:orientation val="minMax"/>
        </c:scaling>
        <c:delete val="0"/>
        <c:axPos val="r"/>
        <c:numFmt formatCode="0.00%" sourceLinked="0"/>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26055079"/>
        <c:crosses val="max"/>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fb866c0-801f-466b-8461-881aefeb77c3}"/>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3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styleClr val="auto"/>
    </cs:effectRef>
    <cs:fontRef idx="minor">
      <a:schemeClr val="dk1"/>
    </cs:fontRef>
    <cs:spPr>
      <a:gradFill>
        <a:gsLst>
          <a:gs pos="0">
            <a:schemeClr val="phClr">
              <a:lumMod val="40000"/>
              <a:lumOff val="60000"/>
            </a:schemeClr>
          </a:gs>
          <a:gs pos="90000">
            <a:schemeClr val="phClr"/>
          </a:gs>
        </a:gsLst>
        <a:lin ang="5400000" scaled="0"/>
      </a:gradFill>
      <a:ln>
        <a:gradFill>
          <a:gsLst>
            <a:gs pos="0">
              <a:schemeClr val="phClr"/>
            </a:gs>
            <a:gs pos="100000">
              <a:schemeClr val="phClr">
                <a:lumMod val="75000"/>
              </a:schemeClr>
            </a:gs>
          </a:gsLst>
          <a:lin ang="5160000" scaled="1"/>
        </a:gradFill>
      </a:ln>
      <a:effectLst>
        <a:outerShdw blurRad="76200" dist="25400" dir="2700000" algn="tl" rotWithShape="0">
          <a:schemeClr val="phClr">
            <a:lumMod val="50000"/>
            <a:alpha val="30000"/>
          </a:schemeClr>
        </a:outerShdw>
      </a:effectLst>
    </cs:spPr>
  </cs:dataPoint>
  <cs:dataPoint3D>
    <cs:lnRef idx="0"/>
    <cs:fillRef idx="1">
      <cs:styleClr val="auto"/>
    </cs:fillRef>
    <cs:effectRef idx="0"/>
    <cs:fontRef idx="minor">
      <a:schemeClr val="tx1"/>
    </cs:fontRef>
  </cs:dataPoint3D>
  <cs:dataPointLine>
    <cs:lnRef idx="0">
      <cs:styleClr val="auto"/>
    </cs:lnRef>
    <cs:fillRef idx="1"/>
    <cs:effectRef idx="0">
      <cs:styleClr val="auto"/>
    </cs:effectRef>
    <cs:fontRef idx="minor">
      <a:schemeClr val="tx1"/>
    </cs:fontRef>
    <cs:spPr>
      <a:ln w="28575" cap="rnd">
        <a:solidFill>
          <a:schemeClr val="phClr"/>
        </a:solidFill>
        <a:round/>
      </a:ln>
      <a:effectLst>
        <a:outerShdw blurRad="76200" dist="25400" dir="2700000" algn="tl" rotWithShape="0">
          <a:schemeClr val="phClr">
            <a:lumMod val="50000"/>
            <a:alpha val="30000"/>
          </a:schemeClr>
        </a:outerShdw>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4">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styleClr val="auto"/>
    </cs:effectRef>
    <cs:fontRef idx="minor">
      <a:schemeClr val="dk1"/>
    </cs:fontRef>
    <cs:spPr>
      <a:gradFill>
        <a:gsLst>
          <a:gs pos="0">
            <a:schemeClr val="phClr">
              <a:lumMod val="40000"/>
              <a:lumOff val="60000"/>
            </a:schemeClr>
          </a:gs>
          <a:gs pos="90000">
            <a:schemeClr val="phClr"/>
          </a:gs>
        </a:gsLst>
        <a:lin ang="5400000" scaled="0"/>
      </a:gradFill>
      <a:ln>
        <a:gradFill>
          <a:gsLst>
            <a:gs pos="0">
              <a:schemeClr val="phClr"/>
            </a:gs>
            <a:gs pos="100000">
              <a:schemeClr val="phClr">
                <a:lumMod val="75000"/>
              </a:schemeClr>
            </a:gs>
          </a:gsLst>
          <a:lin ang="5400000" scaled="1"/>
        </a:gradFill>
      </a:ln>
      <a:effectLst>
        <a:outerShdw blurRad="76200" dist="25400" dir="2700000" algn="tl" rotWithShape="0">
          <a:schemeClr val="phClr">
            <a:lumMod val="50000"/>
            <a:alpha val="30000"/>
          </a:schemeClr>
        </a:outerShdw>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04">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styleClr val="auto"/>
    </cs:effectRef>
    <cs:fontRef idx="minor">
      <a:schemeClr val="dk1"/>
    </cs:fontRef>
    <cs:spPr>
      <a:gradFill>
        <a:gsLst>
          <a:gs pos="0">
            <a:schemeClr val="phClr">
              <a:lumMod val="40000"/>
              <a:lumOff val="60000"/>
            </a:schemeClr>
          </a:gs>
          <a:gs pos="90000">
            <a:schemeClr val="phClr"/>
          </a:gs>
        </a:gsLst>
        <a:lin ang="5400000" scaled="0"/>
      </a:gradFill>
      <a:ln>
        <a:gradFill>
          <a:gsLst>
            <a:gs pos="0">
              <a:schemeClr val="phClr"/>
            </a:gs>
            <a:gs pos="100000">
              <a:schemeClr val="phClr">
                <a:lumMod val="75000"/>
              </a:schemeClr>
            </a:gs>
          </a:gsLst>
          <a:lin ang="5400000" scaled="1"/>
        </a:gradFill>
      </a:ln>
      <a:effectLst>
        <a:outerShdw blurRad="76200" dist="25400" dir="2700000" algn="tl" rotWithShape="0">
          <a:schemeClr val="phClr">
            <a:lumMod val="50000"/>
            <a:alpha val="30000"/>
          </a:schemeClr>
        </a:outerShdw>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2909</Words>
  <Characters>3123</Characters>
  <Lines>0</Lines>
  <Paragraphs>0</Paragraphs>
  <TotalTime>1405</TotalTime>
  <ScaleCrop>false</ScaleCrop>
  <LinksUpToDate>false</LinksUpToDate>
  <CharactersWithSpaces>3134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2025-03-23T07:50:00Z</dcterms:created>
  <dc:creator>86198</dc:creator>
  <cp:lastModifiedBy>遗落</cp:lastModifiedBy>
  <dcterms:modified xsi:type="dcterms:W3CDTF">2025-04-14T03:22:51Z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eyJoZGlkIjoiZThmNjAzMWJlZjFkMmQwODUwMTJkYzE2ODFiYmFmYTciLCJ1c2VySWQiOiI5NDQ4OTE4MDYifQ==</vt:lpwstr>
  </property>
  <property fmtid="{D5CDD505-2E9C-101B-9397-08002B2CF9AE}" pid="4" name="ICV">
    <vt:lpwstr>FEAEA8A494C748199C7F41F66B4CDFE8_12</vt:lpwstr>
  </property>
</Properties>
</file>