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宋体" w:hAnsi="宋体"/>
          <w:sz w:val="32"/>
          <w:szCs w:val="32"/>
        </w:rPr>
      </w:pPr>
      <w:r>
        <w:rPr>
          <w:rFonts w:hint="eastAsia" w:ascii="宋体" w:hAnsi="宋体"/>
          <w:sz w:val="32"/>
          <w:szCs w:val="32"/>
        </w:rPr>
        <w:t>基于</w:t>
      </w:r>
      <w:r>
        <w:rPr>
          <w:rFonts w:hint="eastAsia" w:ascii="宋体" w:hAnsi="宋体"/>
          <w:sz w:val="32"/>
          <w:szCs w:val="32"/>
          <w:lang w:val="en-US" w:eastAsia="zh-CN"/>
        </w:rPr>
        <w:t>单因素方差分析</w:t>
      </w:r>
      <w:r>
        <w:rPr>
          <w:rFonts w:hint="eastAsia" w:ascii="宋体" w:hAnsi="宋体"/>
          <w:sz w:val="32"/>
          <w:szCs w:val="32"/>
        </w:rPr>
        <w:t>模型的</w:t>
      </w:r>
      <w:r>
        <w:rPr>
          <w:rFonts w:hint="eastAsia" w:ascii="宋体" w:hAnsi="宋体"/>
          <w:sz w:val="32"/>
          <w:szCs w:val="32"/>
          <w:lang w:val="en-US" w:eastAsia="zh-CN"/>
        </w:rPr>
        <w:t>玻璃风化</w:t>
      </w:r>
      <w:r>
        <w:rPr>
          <w:rFonts w:hint="eastAsia" w:ascii="宋体" w:hAnsi="宋体"/>
          <w:sz w:val="32"/>
          <w:szCs w:val="32"/>
        </w:rPr>
        <w:t>问题研究</w:t>
      </w:r>
    </w:p>
    <w:p>
      <w:pPr>
        <w:ind w:firstLine="0" w:firstLineChars="0"/>
        <w:jc w:val="center"/>
        <w:rPr>
          <w:rFonts w:ascii="宋体" w:hAnsi="宋体"/>
          <w:sz w:val="28"/>
          <w:szCs w:val="24"/>
        </w:rPr>
      </w:pPr>
      <w:r>
        <w:rPr>
          <w:rFonts w:hint="eastAsia" w:ascii="宋体" w:hAnsi="宋体"/>
          <w:sz w:val="28"/>
          <w:szCs w:val="24"/>
        </w:rPr>
        <w:t>摘</w:t>
      </w:r>
      <w:r>
        <w:rPr>
          <w:rFonts w:ascii="宋体" w:hAnsi="宋体"/>
          <w:sz w:val="28"/>
          <w:szCs w:val="24"/>
        </w:rPr>
        <w:t>要</w:t>
      </w:r>
    </w:p>
    <w:p>
      <w:pPr>
        <w:keepNext w:val="0"/>
        <w:keepLines w:val="0"/>
        <w:widowControl/>
        <w:suppressLineNumbers w:val="0"/>
        <w:jc w:val="left"/>
        <w:rPr>
          <w:rFonts w:hint="eastAsia"/>
          <w:lang w:val="en-US" w:eastAsia="zh-CN"/>
        </w:rPr>
      </w:pPr>
      <w:r>
        <w:rPr>
          <w:rFonts w:hint="eastAsia"/>
          <w:lang w:val="en-US" w:eastAsia="zh-CN"/>
        </w:rPr>
        <w:t>本文基于单因素方差分析模型对题目中所给的这些玻璃文物的表面风化与其玻璃类型、纹饰和颜色的关系进行分析。首先我们对题目所给数据进行观察分析，表中有少量数据有缺失现象，应对表中数据进行预处理，补全缺失数据。</w:t>
      </w:r>
    </w:p>
    <w:p>
      <w:pPr>
        <w:keepNext w:val="0"/>
        <w:keepLines w:val="0"/>
        <w:widowControl/>
        <w:suppressLineNumbers w:val="0"/>
        <w:jc w:val="left"/>
        <w:rPr>
          <w:rFonts w:hint="default"/>
          <w:lang w:val="en-US" w:eastAsia="zh-CN"/>
        </w:rPr>
      </w:pPr>
      <w:r>
        <w:rPr>
          <w:rFonts w:hint="eastAsia"/>
          <w:lang w:val="en-US" w:eastAsia="zh-CN"/>
        </w:rPr>
        <w:t>最后</w:t>
      </w:r>
      <w:r>
        <w:rPr>
          <w:rFonts w:ascii="Arial" w:hAnsi="Arial" w:eastAsia="Arial" w:cs="Arial"/>
          <w:i w:val="0"/>
          <w:iCs w:val="0"/>
          <w:caps w:val="0"/>
          <w:color w:val="4D4D4D"/>
          <w:spacing w:val="0"/>
          <w:sz w:val="24"/>
          <w:szCs w:val="24"/>
          <w:shd w:val="clear" w:fill="FFFFFF"/>
        </w:rPr>
        <w:t>以表面风化作为因素，以玻璃类型、纹饰和颜色的情况作为检验指标，根据模型原理，得到玻璃类型的显著性p值为0.002,则有显著性影响，而玻璃颜色的显著性p值为0.070和玻璃纹饰的显著性p值为0.078，表现为无差异显著性影响</w:t>
      </w:r>
    </w:p>
    <w:p>
      <w:pPr>
        <w:widowControl/>
        <w:ind w:firstLine="0" w:firstLineChars="0"/>
        <w:jc w:val="left"/>
        <w:rPr>
          <w:rFonts w:hint="default" w:eastAsia="宋体"/>
          <w:lang w:val="en-US" w:eastAsia="zh-CN"/>
        </w:rPr>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pPr>
    </w:p>
    <w:p>
      <w:pPr>
        <w:widowControl/>
        <w:ind w:firstLine="0" w:firstLineChars="0"/>
        <w:jc w:val="left"/>
        <w:rPr>
          <w:rFonts w:hint="default" w:eastAsia="宋体"/>
          <w:lang w:val="en-US" w:eastAsia="zh-CN"/>
        </w:rPr>
      </w:pPr>
      <w:r>
        <w:rPr>
          <w:rFonts w:hint="eastAsia"/>
        </w:rPr>
        <w:t>关键词：</w:t>
      </w:r>
      <w:r>
        <w:rPr>
          <w:rFonts w:hint="eastAsia"/>
          <w:lang w:val="en-US" w:eastAsia="zh-CN"/>
        </w:rPr>
        <w:t>单因素方差分析，数学建模</w:t>
      </w:r>
    </w:p>
    <w:p>
      <w:pPr>
        <w:widowControl/>
        <w:spacing w:line="340" w:lineRule="exact"/>
        <w:ind w:firstLine="0" w:firstLineChars="0"/>
        <w:jc w:val="left"/>
        <w:rPr>
          <w:b/>
          <w:bCs/>
          <w:color w:val="000000" w:themeColor="text1"/>
          <w:sz w:val="28"/>
          <w:szCs w:val="24"/>
          <w14:textFill>
            <w14:solidFill>
              <w14:schemeClr w14:val="tx1"/>
            </w14:solidFill>
          </w14:textFill>
        </w:rPr>
      </w:pPr>
    </w:p>
    <w:p>
      <w:pPr>
        <w:widowControl/>
        <w:spacing w:line="340" w:lineRule="exact"/>
        <w:ind w:firstLine="0" w:firstLineChars="0"/>
        <w:jc w:val="left"/>
        <w:rPr>
          <w:b/>
          <w:bCs/>
          <w:color w:val="000000" w:themeColor="text1"/>
          <w:sz w:val="28"/>
          <w:szCs w:val="24"/>
          <w14:textFill>
            <w14:solidFill>
              <w14:schemeClr w14:val="tx1"/>
            </w14:solidFill>
          </w14:textFill>
        </w:rPr>
      </w:pPr>
    </w:p>
    <w:p>
      <w:pPr>
        <w:widowControl/>
        <w:spacing w:line="340" w:lineRule="exact"/>
        <w:ind w:firstLine="0" w:firstLineChars="0"/>
        <w:jc w:val="left"/>
        <w:rPr>
          <w:rFonts w:hint="eastAsia"/>
          <w:b/>
          <w:bCs/>
          <w:color w:val="000000" w:themeColor="text1"/>
          <w:sz w:val="28"/>
          <w:szCs w:val="24"/>
          <w14:textFill>
            <w14:solidFill>
              <w14:schemeClr w14:val="tx1"/>
            </w14:solidFill>
          </w14:textFill>
        </w:rPr>
      </w:pPr>
    </w:p>
    <w:p>
      <w:pPr>
        <w:widowControl/>
        <w:ind w:firstLine="0" w:firstLineChars="0"/>
        <w:jc w:val="left"/>
      </w:pPr>
      <w:r>
        <w:br w:type="page"/>
      </w:r>
    </w:p>
    <w:p>
      <w:pPr>
        <w:pStyle w:val="2"/>
      </w:pPr>
      <w:bookmarkStart w:id="0" w:name="_Toc57576277"/>
      <w:r>
        <w:t>问题重述</w:t>
      </w:r>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丝绸之路是我国古代连接中西方的交流通道，其中我国古代的玻璃成为了我国早期与各国贸易往来的宝贵物证。早期的古代玻璃在西亚和埃及地区常常被制作成珠形饰品传入我国内部，所以我国古代玻璃吸收其西方技术后在本土就地取材制作，但是不同的是我国古代玻璃与外来的玻璃制品外观相似，但是化学成分却大不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rPr>
        <w:t>玻璃的主要原料是石英砂，它的主要的化学成分是二氧化硅（SiO2 ），在炼制的过程中需要添加助熔剂和稳定剂。在我国古代有常用的助熔剂有草木灰、天然泡碱、硝石和铅矿石等。其中以添加石灰石作为稳定剂，石灰石煅烧以后转化为氧化钙（CaO）可以作为稳定剂。如果添加的助熔剂不同，其主要化学成分也会不同。古代玻璃极易受埋藏环境的影响而风化。并且在风化过程中，内部元素与环境元素进行着大量交换，导致其成分比例会发生变化，从而会影响对其类别的正确判断。文物标记可表现为表面风化和表面无风化两种。其中的文物标记为表面无风化的特征是从表面上可以明显看出其文物的颜色和纹饰，但是不排除局部有较浅的风化，而文物标记表现为表面风化的特征为表面大面积灰黄色区域为风化层，其表面有明显的风化区域，紫色部分是一般的风化表面，但是在部分风化的文物中，其表面也有未风化的区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firstLine="480" w:firstLineChars="200"/>
        <w:jc w:val="both"/>
        <w:rPr>
          <w:rFonts w:hint="eastAsia" w:ascii="Arial" w:hAnsi="Arial" w:eastAsia="Arial" w:cs="Arial"/>
          <w:b w:val="0"/>
          <w:bCs w:val="0"/>
          <w:i w:val="0"/>
          <w:iCs w:val="0"/>
          <w:caps w:val="0"/>
          <w:color w:val="333333"/>
          <w:spacing w:val="0"/>
          <w:sz w:val="24"/>
          <w:szCs w:val="24"/>
          <w:shd w:val="clear" w:fill="FFFFFF"/>
        </w:rPr>
      </w:pPr>
      <w:r>
        <w:rPr>
          <w:rFonts w:hint="eastAsia" w:ascii="Arial" w:hAnsi="Arial" w:eastAsia="Arial" w:cs="Arial"/>
          <w:b w:val="0"/>
          <w:bCs w:val="0"/>
          <w:i w:val="0"/>
          <w:iCs w:val="0"/>
          <w:caps w:val="0"/>
          <w:color w:val="333333"/>
          <w:spacing w:val="0"/>
          <w:sz w:val="24"/>
          <w:szCs w:val="24"/>
          <w:shd w:val="clear" w:fill="FFFFFF"/>
          <w:lang w:val="en-US" w:eastAsia="zh-CN"/>
        </w:rPr>
        <w:t>现有一批我国古代玻璃制品的相关数据，考古工作者依据这些文物样品的化学成分和其他 检测手段已将其分为高钾玻璃和铅钡玻璃两种类型。我们要对这些玻璃文物的表面风化与其玻璃类型、纹饰和颜色的关系进行分析。</w:t>
      </w:r>
    </w:p>
    <w:p>
      <w:pPr>
        <w:pStyle w:val="2"/>
      </w:pPr>
      <w:bookmarkStart w:id="1" w:name="_Toc57576278"/>
      <w:r>
        <w:t>问题分析</w:t>
      </w:r>
      <w:bookmarkEnd w:id="1"/>
    </w:p>
    <w:p>
      <w:pPr>
        <w:pStyle w:val="3"/>
        <w:spacing w:after="156"/>
      </w:pPr>
      <w:bookmarkStart w:id="2" w:name="_Toc57576279"/>
      <w:r>
        <w:rPr>
          <w:rFonts w:hint="eastAsia"/>
        </w:rPr>
        <w:t>问题的分析</w:t>
      </w:r>
      <w:bookmarkEnd w:id="2"/>
    </w:p>
    <w:p>
      <w:pPr>
        <w:ind w:firstLine="480"/>
        <w:rPr>
          <w:rFonts w:hint="eastAsia" w:eastAsia="宋体"/>
          <w:lang w:eastAsia="zh-CN"/>
        </w:rPr>
      </w:pPr>
      <w:r>
        <w:rPr>
          <w:rFonts w:ascii="Arial" w:hAnsi="Arial" w:eastAsia="Arial" w:cs="Arial"/>
          <w:i w:val="0"/>
          <w:iCs w:val="0"/>
          <w:caps w:val="0"/>
          <w:color w:val="4D4D4D"/>
          <w:spacing w:val="0"/>
          <w:sz w:val="24"/>
          <w:szCs w:val="24"/>
          <w:shd w:val="clear" w:fill="FFFFFF"/>
        </w:rPr>
        <w:t>首先需要对玻璃表面风化情况与玻璃类型、纹饰和颜色的关系进行分析，即进行差异显著性分析，运用单因素方差分析模型，以表面是否风化作为因素，以玻璃类型、纹饰和颜色的情况作为因素所处的水平，分析显著性p值是否小于0.05，进而分析其中的关系</w:t>
      </w:r>
      <w:r>
        <w:rPr>
          <w:rFonts w:hint="eastAsia" w:ascii="Arial" w:hAnsi="Arial" w:cs="Arial"/>
          <w:i w:val="0"/>
          <w:iCs w:val="0"/>
          <w:caps w:val="0"/>
          <w:color w:val="4D4D4D"/>
          <w:spacing w:val="0"/>
          <w:sz w:val="24"/>
          <w:szCs w:val="24"/>
          <w:shd w:val="clear" w:fill="FFFFFF"/>
          <w:lang w:eastAsia="zh-CN"/>
        </w:rPr>
        <w:t>。</w:t>
      </w:r>
    </w:p>
    <w:p>
      <w:pPr>
        <w:pStyle w:val="2"/>
      </w:pPr>
      <w:bookmarkStart w:id="3" w:name="_Toc57576281"/>
      <w:r>
        <w:t>模型假设</w:t>
      </w:r>
      <w:bookmarkEnd w:id="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1</w:t>
      </w:r>
      <w:r>
        <w:rPr>
          <w:rFonts w:hint="eastAsia" w:ascii="Arial" w:hAnsi="Arial" w:cs="Arial"/>
          <w:b w:val="0"/>
          <w:bCs w:val="0"/>
          <w:i w:val="0"/>
          <w:iCs w:val="0"/>
          <w:caps w:val="0"/>
          <w:color w:val="333333"/>
          <w:spacing w:val="0"/>
          <w:sz w:val="24"/>
          <w:szCs w:val="24"/>
          <w:shd w:val="clear" w:fill="FFFFFF"/>
          <w:lang w:eastAsia="zh-CN"/>
        </w:rPr>
        <w:t>）</w:t>
      </w:r>
      <w:r>
        <w:rPr>
          <w:rFonts w:ascii="Arial" w:hAnsi="Arial" w:eastAsia="Arial" w:cs="Arial"/>
          <w:b w:val="0"/>
          <w:bCs w:val="0"/>
          <w:i w:val="0"/>
          <w:iCs w:val="0"/>
          <w:caps w:val="0"/>
          <w:color w:val="333333"/>
          <w:spacing w:val="0"/>
          <w:sz w:val="24"/>
          <w:szCs w:val="24"/>
          <w:shd w:val="clear" w:fill="FFFFFF"/>
        </w:rPr>
        <w:t>忽略各种玻璃类型在检测过程中可能受到的风化影响；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2</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检测玻璃化学成分含量时的环境一致；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3</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假定实验数据在进行处理的过程中没有人为的操作误差；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200" w:right="0" w:rightChars="0"/>
        <w:jc w:val="both"/>
        <w:rPr>
          <w:b w:val="0"/>
          <w:bCs w:val="0"/>
        </w:rPr>
      </w:pPr>
      <w:r>
        <w:rPr>
          <w:rFonts w:hint="eastAsia" w:ascii="Arial" w:hAnsi="Arial" w:cs="Arial"/>
          <w:b w:val="0"/>
          <w:bCs w:val="0"/>
          <w:i w:val="0"/>
          <w:iCs w:val="0"/>
          <w:caps w:val="0"/>
          <w:color w:val="333333"/>
          <w:spacing w:val="0"/>
          <w:sz w:val="24"/>
          <w:szCs w:val="24"/>
          <w:shd w:val="clear" w:fill="FFFFFF"/>
          <w:lang w:eastAsia="zh-CN"/>
        </w:rPr>
        <w:t>（</w:t>
      </w:r>
      <w:r>
        <w:rPr>
          <w:rFonts w:hint="eastAsia" w:ascii="Arial" w:hAnsi="Arial" w:cs="Arial"/>
          <w:b w:val="0"/>
          <w:bCs w:val="0"/>
          <w:i w:val="0"/>
          <w:iCs w:val="0"/>
          <w:caps w:val="0"/>
          <w:color w:val="333333"/>
          <w:spacing w:val="0"/>
          <w:sz w:val="24"/>
          <w:szCs w:val="24"/>
          <w:shd w:val="clear" w:fill="FFFFFF"/>
          <w:lang w:val="en-US" w:eastAsia="zh-CN"/>
        </w:rPr>
        <w:t>4</w:t>
      </w:r>
      <w:r>
        <w:rPr>
          <w:rFonts w:hint="eastAsia" w:ascii="Arial" w:hAnsi="Arial" w:cs="Arial"/>
          <w:b w:val="0"/>
          <w:bCs w:val="0"/>
          <w:i w:val="0"/>
          <w:iCs w:val="0"/>
          <w:caps w:val="0"/>
          <w:color w:val="333333"/>
          <w:spacing w:val="0"/>
          <w:sz w:val="24"/>
          <w:szCs w:val="24"/>
          <w:shd w:val="clear" w:fill="FFFFFF"/>
          <w:lang w:eastAsia="zh-CN"/>
        </w:rPr>
        <w:t>）</w:t>
      </w:r>
      <w:r>
        <w:rPr>
          <w:rFonts w:hint="default" w:ascii="Arial" w:hAnsi="Arial" w:eastAsia="Arial" w:cs="Arial"/>
          <w:b w:val="0"/>
          <w:bCs w:val="0"/>
          <w:i w:val="0"/>
          <w:iCs w:val="0"/>
          <w:caps w:val="0"/>
          <w:color w:val="333333"/>
          <w:spacing w:val="0"/>
          <w:sz w:val="24"/>
          <w:szCs w:val="24"/>
          <w:shd w:val="clear" w:fill="FFFFFF"/>
        </w:rPr>
        <w:t>假定在试验过程中除因素自身外其他影响指标的因素都保持不变；</w:t>
      </w:r>
    </w:p>
    <w:p>
      <w:pPr>
        <w:pStyle w:val="11"/>
        <w:numPr>
          <w:numId w:val="0"/>
        </w:numPr>
        <w:ind w:left="480" w:leftChars="0"/>
      </w:pPr>
    </w:p>
    <w:p>
      <w:pPr>
        <w:ind w:firstLine="480"/>
        <w:rPr>
          <w:rFonts w:hint="eastAsia"/>
          <w:color w:val="FF0000"/>
        </w:rPr>
      </w:pPr>
    </w:p>
    <w:p>
      <w:pPr>
        <w:ind w:firstLine="480"/>
        <w:rPr>
          <w:color w:val="FF0000"/>
        </w:rPr>
      </w:pPr>
    </w:p>
    <w:p>
      <w:pPr>
        <w:ind w:firstLine="480"/>
        <w:rPr>
          <w:color w:val="FF0000"/>
        </w:rPr>
      </w:pPr>
    </w:p>
    <w:p>
      <w:pPr>
        <w:pStyle w:val="2"/>
      </w:pPr>
      <w:bookmarkStart w:id="4" w:name="_Toc57576282"/>
      <w:r>
        <w:t>符号说明</w:t>
      </w:r>
      <w:bookmarkEnd w:id="4"/>
    </w:p>
    <w:tbl>
      <w:tblPr>
        <w:tblStyle w:val="12"/>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6237"/>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top w:val="single" w:color="auto" w:sz="6" w:space="0"/>
              <w:left w:val="nil"/>
              <w:bottom w:val="single" w:color="auto" w:sz="6" w:space="0"/>
              <w:right w:val="nil"/>
              <w:insideH w:val="single" w:sz="6" w:space="0"/>
              <w:insideV w:val="nil"/>
              <w:tl2br w:val="nil"/>
              <w:tr2bl w:val="nil"/>
            </w:tcBorders>
            <w:vAlign w:val="center"/>
          </w:tcPr>
          <w:p>
            <w:pPr>
              <w:ind w:firstLine="0" w:firstLineChars="0"/>
              <w:jc w:val="left"/>
            </w:pPr>
            <w:r>
              <w:rPr>
                <w:rFonts w:hint="eastAsia"/>
              </w:rPr>
              <w:t>符号</w:t>
            </w:r>
          </w:p>
        </w:tc>
        <w:tc>
          <w:tcPr>
            <w:tcW w:w="6237" w:type="dxa"/>
            <w:tcBorders>
              <w:top w:val="single" w:color="auto" w:sz="6" w:space="0"/>
              <w:bottom w:val="single" w:color="auto" w:sz="6" w:space="0"/>
              <w:right w:val="nil"/>
              <w:insideH w:val="single" w:sz="6" w:space="0"/>
              <w:insideV w:val="nil"/>
              <w:tl2br w:val="nil"/>
              <w:tr2bl w:val="nil"/>
            </w:tcBorders>
            <w:vAlign w:val="center"/>
          </w:tcPr>
          <w:p>
            <w:pPr>
              <w:ind w:firstLine="0" w:firstLineChars="0"/>
              <w:jc w:val="left"/>
            </w:pPr>
            <w:r>
              <w:rPr>
                <w:rFonts w:hint="eastAsia"/>
              </w:rPr>
              <w:t>说明</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vAlign w:val="center"/>
          </w:tcPr>
          <w:p>
            <w:pPr>
              <w:adjustRightInd w:val="0"/>
              <w:snapToGrid w:val="0"/>
              <w:ind w:firstLine="0" w:firstLineChars="0"/>
              <w:jc w:val="left"/>
            </w:pPr>
          </w:p>
        </w:tc>
        <w:tc>
          <w:tcPr>
            <w:tcW w:w="6237" w:type="dxa"/>
            <w:vAlign w:val="center"/>
          </w:tcPr>
          <w:p>
            <w:pPr>
              <w:adjustRightInd w:val="0"/>
              <w:snapToGrid w:val="0"/>
              <w:ind w:firstLine="0" w:firstLineChars="0"/>
              <w:jc w:val="left"/>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76" w:type="dxa"/>
            <w:tcBorders>
              <w:bottom w:val="single" w:color="auto" w:sz="6" w:space="0"/>
            </w:tcBorders>
            <w:vAlign w:val="center"/>
          </w:tcPr>
          <w:p>
            <w:pPr>
              <w:adjustRightInd w:val="0"/>
              <w:snapToGrid w:val="0"/>
              <w:ind w:firstLine="0" w:firstLineChars="0"/>
              <w:jc w:val="left"/>
            </w:pPr>
          </w:p>
        </w:tc>
        <w:tc>
          <w:tcPr>
            <w:tcW w:w="6237" w:type="dxa"/>
            <w:tcBorders>
              <w:bottom w:val="single" w:color="auto" w:sz="6" w:space="0"/>
              <w:right w:val="single" w:color="auto" w:sz="6" w:space="0"/>
            </w:tcBorders>
            <w:vAlign w:val="center"/>
          </w:tcPr>
          <w:p>
            <w:pPr>
              <w:adjustRightInd w:val="0"/>
              <w:snapToGrid w:val="0"/>
              <w:ind w:firstLine="0" w:firstLineChars="0"/>
              <w:jc w:val="left"/>
            </w:pPr>
          </w:p>
        </w:tc>
      </w:tr>
    </w:tbl>
    <w:p>
      <w:pPr>
        <w:pStyle w:val="2"/>
      </w:pPr>
      <w:bookmarkStart w:id="5" w:name="_Toc57576283"/>
      <w:r>
        <w:rPr>
          <w:rFonts w:hint="eastAsia"/>
          <w:lang w:val="en-US" w:eastAsia="zh-CN"/>
        </w:rPr>
        <w:t>数据的预处理</w:t>
      </w:r>
    </w:p>
    <w:p>
      <w:pPr>
        <w:rPr>
          <w:rFonts w:hint="default"/>
          <w:lang w:val="en-US"/>
        </w:rPr>
      </w:pPr>
      <w:r>
        <w:rPr>
          <w:rFonts w:hint="eastAsia"/>
          <w:lang w:val="en-US" w:eastAsia="zh-CN"/>
        </w:rPr>
        <w:t>首先观察数据发现，在题目中所给的58个数据中，在纹饰A和C各有两个数据缺失，缺失项是颜色，其中缺失的四个文物，A纹饰的其他两个指标均为“铅钡类型、表明风化”，C纹饰的其他两个指标均为“铅钡类型、表明风化”，首先对A纹饰文物进行数据进行补充，我们可以通过众数补充法进行补充，观察数据，缺失位置应当补充的数据为浅蓝色。</w:t>
      </w:r>
    </w:p>
    <w:p>
      <w:pPr>
        <w:rPr>
          <w:rFonts w:hint="eastAsia"/>
          <w:lang w:val="en-US" w:eastAsia="zh-CN"/>
        </w:rPr>
      </w:pPr>
      <w:r>
        <w:rPr>
          <w:rFonts w:hint="eastAsia"/>
          <w:lang w:val="en-US" w:eastAsia="zh-CN"/>
        </w:rPr>
        <w:t>对于C纹饰缺失的颜色，我们可以通过热卡填充方式进行，下面是对于C纹饰中，同为铅钡且表面风化的各个颜色统计分析：</w:t>
      </w:r>
    </w:p>
    <w:p>
      <w:pPr>
        <w:jc w:val="center"/>
        <w:rPr>
          <w:rFonts w:hint="default"/>
          <w:lang w:val="en-US" w:eastAsia="zh-CN"/>
        </w:rPr>
      </w:pPr>
      <w:r>
        <w:rPr>
          <w:rFonts w:hint="eastAsia"/>
          <w:lang w:val="en-US" w:eastAsia="zh-CN"/>
        </w:rPr>
        <w:t>表1 颜色分布（C相关）</w:t>
      </w:r>
    </w:p>
    <w:tbl>
      <w:tblPr>
        <w:tblStyle w:val="8"/>
        <w:tblW w:w="0" w:type="auto"/>
        <w:tblInd w:w="-129"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1247"/>
        <w:gridCol w:w="1419"/>
        <w:gridCol w:w="1948"/>
        <w:gridCol w:w="1320"/>
        <w:gridCol w:w="1508"/>
        <w:gridCol w:w="174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1247"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颜色</w:t>
            </w:r>
          </w:p>
        </w:tc>
        <w:tc>
          <w:tcPr>
            <w:tcW w:w="1419"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蓝绿</w:t>
            </w:r>
          </w:p>
        </w:tc>
        <w:tc>
          <w:tcPr>
            <w:tcW w:w="1948"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浅蓝</w:t>
            </w:r>
          </w:p>
        </w:tc>
        <w:tc>
          <w:tcPr>
            <w:tcW w:w="1320"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浅绿</w:t>
            </w:r>
          </w:p>
        </w:tc>
        <w:tc>
          <w:tcPr>
            <w:tcW w:w="1508" w:type="dxa"/>
            <w:tcBorders>
              <w:tl2br w:val="nil"/>
              <w:tr2bl w:val="nil"/>
            </w:tcBorders>
            <w:vAlign w:val="top"/>
          </w:tcPr>
          <w:p>
            <w:pPr>
              <w:ind w:left="0" w:leftChars="0" w:firstLine="480" w:firstLineChars="200"/>
              <w:jc w:val="both"/>
              <w:rPr>
                <w:rFonts w:hint="default"/>
                <w:vertAlign w:val="baseline"/>
                <w:lang w:val="en-US" w:eastAsia="zh-CN"/>
              </w:rPr>
            </w:pPr>
            <w:r>
              <w:rPr>
                <w:rFonts w:hint="eastAsia"/>
                <w:vertAlign w:val="baseline"/>
                <w:lang w:val="en-US" w:eastAsia="zh-CN"/>
              </w:rPr>
              <w:t>深绿</w:t>
            </w:r>
          </w:p>
        </w:tc>
        <w:tc>
          <w:tcPr>
            <w:tcW w:w="1747"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紫</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701" w:hRule="atLeast"/>
        </w:trPr>
        <w:tc>
          <w:tcPr>
            <w:tcW w:w="1247"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对应文物编号</w:t>
            </w:r>
          </w:p>
        </w:tc>
        <w:tc>
          <w:tcPr>
            <w:tcW w:w="1419" w:type="dxa"/>
            <w:tcBorders>
              <w:tl2br w:val="nil"/>
              <w:tr2bl w:val="nil"/>
            </w:tcBorders>
            <w:vAlign w:val="top"/>
          </w:tcPr>
          <w:p>
            <w:pPr>
              <w:ind w:left="0" w:leftChars="0" w:firstLine="480" w:firstLineChars="200"/>
              <w:jc w:val="both"/>
              <w:rPr>
                <w:rFonts w:hint="default"/>
                <w:vertAlign w:val="baseline"/>
                <w:lang w:val="en-US" w:eastAsia="zh-CN"/>
              </w:rPr>
            </w:pPr>
            <w:r>
              <w:rPr>
                <w:rFonts w:hint="eastAsia"/>
                <w:vertAlign w:val="baseline"/>
                <w:lang w:val="en-US" w:eastAsia="zh-CN"/>
              </w:rPr>
              <w:t>56,57</w:t>
            </w:r>
          </w:p>
        </w:tc>
        <w:tc>
          <w:tcPr>
            <w:tcW w:w="1948" w:type="dxa"/>
            <w:tcBorders>
              <w:tl2br w:val="nil"/>
              <w:tr2bl w:val="nil"/>
            </w:tcBorders>
            <w:vAlign w:val="top"/>
          </w:tcPr>
          <w:p>
            <w:pPr>
              <w:ind w:left="0" w:leftChars="0" w:firstLine="0" w:firstLineChars="0"/>
              <w:jc w:val="center"/>
              <w:rPr>
                <w:rFonts w:hint="default"/>
                <w:vertAlign w:val="baseline"/>
                <w:lang w:val="en-US" w:eastAsia="zh-CN"/>
              </w:rPr>
            </w:pPr>
            <w:r>
              <w:rPr>
                <w:rFonts w:hint="eastAsia"/>
                <w:vertAlign w:val="baseline"/>
                <w:lang w:val="en-US" w:eastAsia="zh-CN"/>
              </w:rPr>
              <w:t>11,25,43,51,52,54</w:t>
            </w:r>
          </w:p>
        </w:tc>
        <w:tc>
          <w:tcPr>
            <w:tcW w:w="1320" w:type="dxa"/>
            <w:tcBorders>
              <w:tl2br w:val="nil"/>
              <w:tr2bl w:val="nil"/>
            </w:tcBorders>
            <w:vAlign w:val="top"/>
          </w:tcPr>
          <w:p>
            <w:pPr>
              <w:jc w:val="both"/>
              <w:rPr>
                <w:rFonts w:hint="default"/>
                <w:vertAlign w:val="baseline"/>
                <w:lang w:val="en-US" w:eastAsia="zh-CN"/>
              </w:rPr>
            </w:pPr>
            <w:r>
              <w:rPr>
                <w:rFonts w:hint="eastAsia"/>
                <w:vertAlign w:val="baseline"/>
                <w:lang w:val="en-US" w:eastAsia="zh-CN"/>
              </w:rPr>
              <w:t>41</w:t>
            </w:r>
          </w:p>
        </w:tc>
        <w:tc>
          <w:tcPr>
            <w:tcW w:w="1508" w:type="dxa"/>
            <w:tcBorders>
              <w:tl2br w:val="nil"/>
              <w:tr2bl w:val="nil"/>
            </w:tcBorders>
            <w:vAlign w:val="top"/>
          </w:tcPr>
          <w:p>
            <w:pPr>
              <w:ind w:left="0" w:leftChars="0" w:firstLine="0" w:firstLineChars="0"/>
              <w:jc w:val="both"/>
              <w:rPr>
                <w:rFonts w:hint="default"/>
                <w:vertAlign w:val="baseline"/>
                <w:lang w:val="en-US" w:eastAsia="zh-CN"/>
              </w:rPr>
            </w:pPr>
            <w:r>
              <w:rPr>
                <w:rFonts w:hint="eastAsia"/>
                <w:vertAlign w:val="baseline"/>
                <w:lang w:val="en-US" w:eastAsia="zh-CN"/>
              </w:rPr>
              <w:t>34,36,38,39</w:t>
            </w:r>
          </w:p>
        </w:tc>
        <w:tc>
          <w:tcPr>
            <w:tcW w:w="1747" w:type="dxa"/>
            <w:tcBorders>
              <w:tl2br w:val="nil"/>
              <w:tr2bl w:val="nil"/>
            </w:tcBorders>
            <w:vAlign w:val="top"/>
          </w:tcPr>
          <w:p>
            <w:pPr>
              <w:ind w:left="0" w:leftChars="0" w:firstLine="240" w:firstLineChars="100"/>
              <w:jc w:val="both"/>
              <w:rPr>
                <w:rFonts w:hint="default"/>
                <w:vertAlign w:val="baseline"/>
                <w:lang w:val="en-US" w:eastAsia="zh-CN"/>
              </w:rPr>
            </w:pPr>
            <w:r>
              <w:rPr>
                <w:rFonts w:hint="eastAsia"/>
                <w:vertAlign w:val="baseline"/>
                <w:lang w:val="en-US" w:eastAsia="zh-CN"/>
              </w:rPr>
              <w:t>08,26</w:t>
            </w:r>
          </w:p>
        </w:tc>
      </w:tr>
    </w:tbl>
    <w:p>
      <w:pPr>
        <w:rPr>
          <w:rFonts w:hint="default"/>
          <w:lang w:val="en-US" w:eastAsia="zh-CN"/>
        </w:rPr>
      </w:pPr>
      <w:r>
        <w:rPr>
          <w:rFonts w:hint="eastAsia"/>
          <w:lang w:val="en-US" w:eastAsia="zh-CN"/>
        </w:rPr>
        <w:t>我们观察表中数据，数据为未更改的确定性数据，剩余40以及58号文物颜色尚且未知通过热卡填充，我们得到，40号、58号文物颜色分别为深绿色，浅蓝色。由此我们对于文物颜色补充完成，数据预处理已经完成。</w:t>
      </w:r>
    </w:p>
    <w:p>
      <w:pPr>
        <w:pStyle w:val="2"/>
      </w:pPr>
      <w:r>
        <w:t>模型的建立与求解</w:t>
      </w:r>
      <w:bookmarkEnd w:id="5"/>
    </w:p>
    <w:p>
      <w:pPr>
        <w:rPr>
          <w:rFonts w:hint="default"/>
          <w:lang w:val="en-US"/>
        </w:rPr>
      </w:pPr>
      <w:r>
        <w:rPr>
          <w:rFonts w:hint="eastAsia"/>
          <w:lang w:val="en-US" w:eastAsia="zh-CN"/>
        </w:rPr>
        <w:t>我们将数据导入SPSSPRO中，利用网站中所含的单因素方差分析进行相关性检验，</w:t>
      </w:r>
    </w:p>
    <w:p>
      <w:pPr>
        <w:rPr>
          <w:rFonts w:ascii="PingFangSC-Medium" w:hAnsi="PingFangSC-Medium" w:eastAsia="PingFangSC-Medium" w:cs="PingFangSC-Medium"/>
          <w:b/>
          <w:bCs/>
          <w:i w:val="0"/>
          <w:iCs w:val="0"/>
          <w:caps w:val="0"/>
          <w:color w:val="2B323D"/>
          <w:spacing w:val="0"/>
          <w:sz w:val="21"/>
          <w:szCs w:val="21"/>
          <w:shd w:val="clear" w:fill="FFFFFF"/>
        </w:rPr>
      </w:pPr>
      <w:r>
        <w:rPr>
          <w:rFonts w:ascii="PingFangSC-Medium" w:hAnsi="PingFangSC-Medium" w:eastAsia="PingFangSC-Medium" w:cs="PingFangSC-Medium"/>
          <w:b/>
          <w:bCs/>
          <w:i w:val="0"/>
          <w:iCs w:val="0"/>
          <w:caps w:val="0"/>
          <w:color w:val="2B323D"/>
          <w:spacing w:val="0"/>
          <w:sz w:val="21"/>
          <w:szCs w:val="21"/>
          <w:shd w:val="clear" w:fill="FFFFFF"/>
        </w:rPr>
        <w:t>单因素方差分析对比图</w:t>
      </w:r>
    </w:p>
    <w:p>
      <w:pPr>
        <w:rPr>
          <w:rFonts w:hint="eastAsia" w:eastAsia="宋体"/>
          <w:lang w:eastAsia="zh-CN"/>
        </w:rPr>
      </w:pPr>
      <w:r>
        <w:rPr>
          <w:rFonts w:hint="eastAsia" w:eastAsia="宋体"/>
          <w:lang w:eastAsia="zh-CN"/>
        </w:rPr>
        <w:drawing>
          <wp:inline distT="0" distB="0" distL="114300" distR="114300">
            <wp:extent cx="2873375" cy="2132965"/>
            <wp:effectExtent l="0" t="0" r="3175" b="635"/>
            <wp:docPr id="1" name="图片 1" descr="表面风化-所有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面风化-所有项 (1)"/>
                    <pic:cNvPicPr>
                      <a:picLocks noChangeAspect="1"/>
                    </pic:cNvPicPr>
                  </pic:nvPicPr>
                  <pic:blipFill>
                    <a:blip r:embed="rId12"/>
                    <a:stretch>
                      <a:fillRect/>
                    </a:stretch>
                  </pic:blipFill>
                  <pic:spPr>
                    <a:xfrm>
                      <a:off x="0" y="0"/>
                      <a:ext cx="2873375" cy="2132965"/>
                    </a:xfrm>
                    <a:prstGeom prst="rect">
                      <a:avLst/>
                    </a:prstGeom>
                  </pic:spPr>
                </pic:pic>
              </a:graphicData>
            </a:graphic>
          </wp:inline>
        </w:drawing>
      </w:r>
    </w:p>
    <w:p>
      <w:pPr>
        <w:rPr>
          <w:rFonts w:ascii="PingFangSC-Medium" w:hAnsi="PingFangSC-Medium" w:eastAsia="PingFangSC-Medium" w:cs="PingFangSC-Medium"/>
          <w:b/>
          <w:bCs/>
          <w:i w:val="0"/>
          <w:iCs w:val="0"/>
          <w:caps w:val="0"/>
          <w:color w:val="2B323D"/>
          <w:spacing w:val="0"/>
          <w:sz w:val="21"/>
          <w:szCs w:val="21"/>
          <w:shd w:val="clear" w:fill="FFFFFF"/>
        </w:rPr>
      </w:pPr>
      <w:r>
        <w:rPr>
          <w:rFonts w:ascii="PingFangSC-Medium" w:hAnsi="PingFangSC-Medium" w:eastAsia="PingFangSC-Medium" w:cs="PingFangSC-Medium"/>
          <w:b/>
          <w:bCs/>
          <w:i w:val="0"/>
          <w:iCs w:val="0"/>
          <w:caps w:val="0"/>
          <w:color w:val="2B323D"/>
          <w:spacing w:val="0"/>
          <w:sz w:val="21"/>
          <w:szCs w:val="21"/>
          <w:shd w:val="clear" w:fill="FFFFFF"/>
        </w:rPr>
        <w:t>方差分析结果表</w:t>
      </w:r>
    </w:p>
    <w:tbl>
      <w:tblPr>
        <w:tblW w:w="850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94"/>
        <w:gridCol w:w="933"/>
        <w:gridCol w:w="880"/>
        <w:gridCol w:w="1145"/>
        <w:gridCol w:w="1145"/>
        <w:gridCol w:w="1683"/>
        <w:gridCol w:w="172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blHeader/>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变量名</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变量值</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样本量</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平均值</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标准差</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方差检验</w:t>
            </w: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line="450" w:lineRule="atLeast"/>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Welch's方差检验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颜色</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2.917</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1.932</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F=0.785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P=0.380</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F=0.741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2.5</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1.638</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2.672</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1.761</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类型</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1.5</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0.511</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F=7.537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P=0.008***</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F=6.853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1.824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0.387</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1.69</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0.467</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9" w:hRule="atLeast"/>
        </w:trPr>
        <w:tc>
          <w:tcPr>
            <w:tcW w:w="3751"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纹饰</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1.458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0.509</w:t>
            </w:r>
          </w:p>
        </w:tc>
        <w:tc>
          <w:tcPr>
            <w:tcW w:w="3142"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F=1.476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P=0.230</w:t>
            </w:r>
          </w:p>
        </w:tc>
        <w:tc>
          <w:tcPr>
            <w:tcW w:w="4349" w:type="dxa"/>
            <w:vMerge w:val="restart"/>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F=1.692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P=0.199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9" w:hRule="atLeast"/>
        </w:trPr>
        <w:tc>
          <w:tcPr>
            <w:tcW w:w="3751"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2.0</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34</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1.676</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0.768</w:t>
            </w:r>
          </w:p>
        </w:tc>
        <w:tc>
          <w:tcPr>
            <w:tcW w:w="3142"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vMerge w:val="continue"/>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3751"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总计</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58</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1.586</w:t>
            </w:r>
          </w:p>
        </w:tc>
        <w:tc>
          <w:tcPr>
            <w:tcW w:w="231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center"/>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0.676</w:t>
            </w:r>
          </w:p>
        </w:tc>
        <w:tc>
          <w:tcPr>
            <w:tcW w:w="3142"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c>
          <w:tcPr>
            <w:tcW w:w="4349" w:type="dxa"/>
            <w:tcBorders>
              <w:top w:val="single" w:color="D8D8D8" w:sz="6" w:space="0"/>
              <w:left w:val="single" w:color="D8D8D8" w:sz="6" w:space="0"/>
              <w:bottom w:val="single" w:color="D8D8D8" w:sz="6" w:space="0"/>
              <w:right w:val="single" w:color="D8D8D8" w:sz="6" w:space="0"/>
            </w:tcBorders>
            <w:shd w:val="clear" w:color="auto" w:fill="FFFFFF"/>
            <w:tcMar>
              <w:top w:w="0" w:type="dxa"/>
              <w:left w:w="0" w:type="dxa"/>
              <w:bottom w:w="0" w:type="dxa"/>
              <w:right w:w="0" w:type="dxa"/>
            </w:tcMar>
            <w:vAlign w:val="center"/>
          </w:tcPr>
          <w:p>
            <w:pPr>
              <w:jc w:val="center"/>
              <w:rPr>
                <w:rFonts w:hint="default" w:ascii="Helvetica" w:hAnsi="Helvetica" w:eastAsia="Helvetica" w:cs="Helvetica"/>
                <w:i w:val="0"/>
                <w:iCs w:val="0"/>
                <w:caps w:val="0"/>
                <w:color w:val="000000"/>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39" w:hRule="atLeast"/>
        </w:trPr>
        <w:tc>
          <w:tcPr>
            <w:tcW w:w="20490" w:type="dxa"/>
            <w:gridSpan w:val="7"/>
            <w:tcBorders>
              <w:top w:val="nil"/>
              <w:left w:val="nil"/>
              <w:bottom w:val="nil"/>
              <w:right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jc w:val="left"/>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lang w:val="en-US" w:eastAsia="zh-CN" w:bidi="ar"/>
              </w:rPr>
              <w:t>注：***、**、*分别代表1%、5%、10%的显著性水平</w:t>
            </w:r>
          </w:p>
        </w:tc>
      </w:tr>
    </w:tbl>
    <w:p>
      <w:pPr>
        <w:rPr>
          <w:rFonts w:hint="eastAsia"/>
          <w:lang w:val="en-US" w:eastAsia="zh-CN"/>
        </w:rPr>
      </w:pPr>
      <w:r>
        <w:rPr>
          <w:rFonts w:hint="eastAsia"/>
          <w:lang w:val="en-US" w:eastAsia="zh-CN"/>
        </w:rPr>
        <w:t>上表展示了方差分析的结果，包括均值±标准差的结果、F检验结果、显著性P值。</w:t>
      </w:r>
      <w:r>
        <w:rPr>
          <w:rFonts w:hint="default"/>
          <w:lang w:val="en-US" w:eastAsia="zh-CN"/>
        </w:rPr>
        <w:br w:type="textWrapping"/>
      </w:r>
      <w:r>
        <w:rPr>
          <w:rFonts w:hint="default"/>
          <w:lang w:val="en-US" w:eastAsia="zh-CN"/>
        </w:rPr>
        <w:t>1. 分析每个分析项的P值是否显著(P&lt;0.05)。</w:t>
      </w:r>
      <w:r>
        <w:rPr>
          <w:rFonts w:hint="default"/>
          <w:lang w:val="en-US" w:eastAsia="zh-CN"/>
        </w:rPr>
        <w:br w:type="textWrapping"/>
      </w:r>
      <w:r>
        <w:rPr>
          <w:rFonts w:hint="default"/>
          <w:lang w:val="en-US" w:eastAsia="zh-CN"/>
        </w:rPr>
        <w:t>2. 若呈显著性，拒绝原假设，说明两组数据之间存在显著性差异，可以根据均值±标准差的方式对差异进行分析，反之则表明数据不呈现差异性。</w:t>
      </w:r>
    </w:p>
    <w:p>
      <w:pPr>
        <w:rPr>
          <w:rFonts w:hint="eastAsia"/>
          <w:lang w:val="en-US" w:eastAsia="zh-CN"/>
        </w:rPr>
      </w:pPr>
      <w:bookmarkStart w:id="6" w:name="_GoBack"/>
      <w:bookmarkEnd w:id="6"/>
      <w:r>
        <w:rPr>
          <w:rFonts w:hint="default"/>
          <w:lang w:val="en-US" w:eastAsia="zh-CN"/>
        </w:rPr>
        <w:t>1.0与2.0在颜色上的均值分别为：2.917/2.5；由于满足方差齐性，采用单样本方差检验，方差分析结果P值为0.380&gt;0.05，因此统计结果不显著，说明不同的表面风化在颜色上不存在显著差异。1.0与2.0在类型上的均值分别为：1.5/1.824；由于不满足方差齐性，采用Welch's 方差检验，方差分析结果P值为0.012**≤0.05，因此统计结果显著，说明不同的表面风化在类型上存在显著差异。1.0与2.0在纹饰上的均值分别为：1.458/1.676；由于不满足方差齐性，采用Welch's 方差检验，方差分析结果P值为0.199&gt;0.05，因此统计结果不显著，说明不同的表面风化在纹饰上不存在显著差异。</w:t>
      </w:r>
    </w:p>
    <w:p>
      <w:pPr>
        <w:rPr>
          <w:rFonts w:hint="eastAsia" w:ascii="PingFangSC-Medium" w:hAnsi="PingFangSC-Medium" w:eastAsia="PingFangSC-Medium" w:cs="PingFangSC-Medium"/>
          <w:b/>
          <w:bCs/>
          <w:i w:val="0"/>
          <w:iCs w:val="0"/>
          <w:caps w:val="0"/>
          <w:color w:val="2B323D"/>
          <w:spacing w:val="0"/>
          <w:sz w:val="21"/>
          <w:szCs w:val="21"/>
          <w:shd w:val="clear" w:fill="FFFFFF"/>
          <w:lang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PingFangSC-Mediu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jc w:val="center"/>
      <w:rPr>
        <w:caps/>
        <w:color w:val="000000" w:themeColor="text1"/>
        <w:sz w:val="21"/>
        <w14:textFill>
          <w14:solidFill>
            <w14:schemeClr w14:val="tx1"/>
          </w14:solidFill>
        </w14:textFill>
      </w:rPr>
    </w:pPr>
    <w:r>
      <w:rPr>
        <w:caps/>
        <w:color w:val="000000" w:themeColor="text1"/>
        <w:sz w:val="21"/>
        <w14:textFill>
          <w14:solidFill>
            <w14:schemeClr w14:val="tx1"/>
          </w14:solidFill>
        </w14:textFill>
      </w:rPr>
      <w:fldChar w:fldCharType="begin"/>
    </w:r>
    <w:r>
      <w:rPr>
        <w:caps/>
        <w:color w:val="000000" w:themeColor="text1"/>
        <w:sz w:val="21"/>
        <w14:textFill>
          <w14:solidFill>
            <w14:schemeClr w14:val="tx1"/>
          </w14:solidFill>
        </w14:textFill>
      </w:rPr>
      <w:instrText xml:space="preserve">PAGE   \* MERGEFORMAT</w:instrText>
    </w:r>
    <w:r>
      <w:rPr>
        <w:caps/>
        <w:color w:val="000000" w:themeColor="text1"/>
        <w:sz w:val="21"/>
        <w14:textFill>
          <w14:solidFill>
            <w14:schemeClr w14:val="tx1"/>
          </w14:solidFill>
        </w14:textFill>
      </w:rPr>
      <w:fldChar w:fldCharType="separate"/>
    </w:r>
    <w:r>
      <w:rPr>
        <w:caps/>
        <w:color w:val="000000" w:themeColor="text1"/>
        <w:sz w:val="21"/>
        <w:lang w:val="zh-CN"/>
        <w14:textFill>
          <w14:solidFill>
            <w14:schemeClr w14:val="tx1"/>
          </w14:solidFill>
        </w14:textFill>
      </w:rPr>
      <w:t>7</w:t>
    </w:r>
    <w:r>
      <w:rPr>
        <w:caps/>
        <w:color w:val="000000" w:themeColor="text1"/>
        <w:sz w:val="21"/>
        <w14:textFill>
          <w14:solidFill>
            <w14:schemeClr w14:val="tx1"/>
          </w14:solidFill>
        </w14:textFill>
      </w:rPr>
      <w:fldChar w:fldCharType="end"/>
    </w:r>
  </w:p>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CD4293"/>
    <w:multiLevelType w:val="multilevel"/>
    <w:tmpl w:val="73CD4293"/>
    <w:lvl w:ilvl="0" w:tentative="0">
      <w:start w:val="1"/>
      <w:numFmt w:val="chineseCountingThousand"/>
      <w:pStyle w:val="2"/>
      <w:suff w:val="space"/>
      <w:lvlText w:val="%1、"/>
      <w:lvlJc w:val="left"/>
      <w:pPr>
        <w:ind w:left="425" w:hanging="425"/>
      </w:pPr>
      <w:rPr>
        <w:rFonts w:hint="eastAsia" w:ascii="宋体" w:hAnsi="宋体" w:eastAsia="宋体"/>
        <w:b w:val="0"/>
        <w:i w:val="0"/>
        <w:sz w:val="28"/>
      </w:rPr>
    </w:lvl>
    <w:lvl w:ilvl="1" w:tentative="0">
      <w:start w:val="1"/>
      <w:numFmt w:val="decimal"/>
      <w:pStyle w:val="3"/>
      <w:isLgl/>
      <w:suff w:val="space"/>
      <w:lvlText w:val="%1.%2"/>
      <w:lvlJc w:val="left"/>
      <w:pPr>
        <w:ind w:left="992" w:hanging="567"/>
      </w:pPr>
      <w:rPr>
        <w:rFonts w:hint="eastAsia" w:ascii="宋体" w:hAnsi="宋体" w:eastAsia="宋体"/>
        <w:b w:val="0"/>
        <w:i w:val="0"/>
        <w:sz w:val="24"/>
      </w:rPr>
    </w:lvl>
    <w:lvl w:ilvl="2" w:tentative="0">
      <w:start w:val="1"/>
      <w:numFmt w:val="decimal"/>
      <w:pStyle w:val="4"/>
      <w:isLgl/>
      <w:suff w:val="space"/>
      <w:lvlText w:val="%1.%2.%3"/>
      <w:lvlJc w:val="left"/>
      <w:pPr>
        <w:ind w:left="1418" w:hanging="567"/>
      </w:pPr>
      <w:rPr>
        <w:rFonts w:hint="eastAsia" w:ascii="宋体" w:hAnsi="宋体" w:eastAsia="宋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3ZDE2YWRhZWI3MDc1N2RmMGJhYTM0YTM5OWNjMTYifQ=="/>
  </w:docVars>
  <w:rsids>
    <w:rsidRoot w:val="00000000"/>
    <w:rsid w:val="61E45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bCs/>
      <w:kern w:val="44"/>
      <w:sz w:val="28"/>
      <w:szCs w:val="44"/>
    </w:rPr>
  </w:style>
  <w:style w:type="paragraph" w:styleId="3">
    <w:name w:val="heading 2"/>
    <w:basedOn w:val="1"/>
    <w:next w:val="1"/>
    <w:unhideWhenUsed/>
    <w:qFormat/>
    <w:uiPriority w:val="9"/>
    <w:pPr>
      <w:keepNext/>
      <w:keepLines/>
      <w:numPr>
        <w:ilvl w:val="1"/>
        <w:numId w:val="1"/>
      </w:numPr>
      <w:spacing w:after="50" w:afterLines="50"/>
      <w:ind w:left="0" w:firstLine="0" w:firstLineChars="0"/>
      <w:jc w:val="left"/>
      <w:outlineLvl w:val="1"/>
    </w:pPr>
    <w:rPr>
      <w:rFonts w:ascii="黑体" w:hAnsi="黑体" w:cstheme="majorBidi"/>
      <w:b/>
      <w:bCs/>
      <w:szCs w:val="32"/>
    </w:rPr>
  </w:style>
  <w:style w:type="paragraph" w:styleId="4">
    <w:name w:val="heading 3"/>
    <w:basedOn w:val="1"/>
    <w:next w:val="1"/>
    <w:unhideWhenUsed/>
    <w:qFormat/>
    <w:uiPriority w:val="9"/>
    <w:pPr>
      <w:keepNext/>
      <w:keepLines/>
      <w:numPr>
        <w:ilvl w:val="2"/>
        <w:numId w:val="1"/>
      </w:numPr>
      <w:ind w:left="0" w:firstLine="0" w:firstLineChars="0"/>
      <w:jc w:val="left"/>
      <w:outlineLvl w:val="2"/>
    </w:pPr>
    <w:rPr>
      <w:rFonts w:ascii="黑体" w:hAnsi="黑体"/>
      <w:bCs/>
      <w:szCs w:val="32"/>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026E5" w:themeColor="hyperlink"/>
      <w:u w:val="single"/>
      <w14:textFill>
        <w14:solidFill>
          <w14:schemeClr w14:val="hlink"/>
        </w14:solidFill>
      </w14:textFill>
    </w:rPr>
  </w:style>
  <w:style w:type="paragraph" w:styleId="11">
    <w:name w:val="List Paragraph"/>
    <w:basedOn w:val="1"/>
    <w:qFormat/>
    <w:uiPriority w:val="34"/>
    <w:pPr>
      <w:ind w:firstLine="420"/>
    </w:pPr>
  </w:style>
  <w:style w:type="table" w:customStyle="1" w:styleId="12">
    <w:name w:val="三线表"/>
    <w:basedOn w:val="7"/>
    <w:qFormat/>
    <w:uiPriority w:val="99"/>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13">
    <w:name w:val="图表"/>
    <w:basedOn w:val="1"/>
    <w:next w:val="1"/>
    <w:qFormat/>
    <w:uiPriority w:val="0"/>
    <w:pPr>
      <w:ind w:firstLine="0" w:firstLineChars="0"/>
      <w:jc w:val="center"/>
    </w:pPr>
    <w:rPr>
      <w:b/>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2024-02-07T06:33:54Z</dcterms:created>
  <dc:creator>dell</dc:creator>
  <cp:lastModifiedBy>夜位和</cp:lastModifiedBy>
  <dcterms:modified xsi:type="dcterms:W3CDTF">2024-02-07T09:06:18Z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25780F9F4BB241DAA47BF596F054D550_12</vt:lpwstr>
  </property>
</Properties>
</file>