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1242" w:type="dxa"/>
        <w:tblLook w:val="04A0" w:firstRow="1" w:lastRow="0" w:firstColumn="1" w:lastColumn="0" w:noHBand="0" w:noVBand="1"/>
      </w:tblPr>
      <w:tblGrid>
        <w:gridCol w:w="2108"/>
        <w:gridCol w:w="4421"/>
        <w:gridCol w:w="4713"/>
      </w:tblGrid>
      <w:tr w:rsidR="000975E7" w:rsidTr="00ED02A4">
        <w:trPr>
          <w:trHeight w:val="287"/>
        </w:trPr>
        <w:tc>
          <w:tcPr>
            <w:tcW w:w="2108" w:type="dxa"/>
            <w:vMerge w:val="restart"/>
            <w:vAlign w:val="center"/>
          </w:tcPr>
          <w:p w:rsidR="000975E7" w:rsidRPr="001C0F04" w:rsidRDefault="000975E7" w:rsidP="000975E7">
            <w:pPr>
              <w:jc w:val="center"/>
              <w:rPr>
                <w:szCs w:val="21"/>
              </w:rPr>
            </w:pPr>
            <w:r w:rsidRPr="001C0F04">
              <w:rPr>
                <w:szCs w:val="21"/>
              </w:rPr>
              <w:t>库存现金</w:t>
            </w:r>
          </w:p>
        </w:tc>
        <w:tc>
          <w:tcPr>
            <w:tcW w:w="9134" w:type="dxa"/>
            <w:gridSpan w:val="2"/>
          </w:tcPr>
          <w:p w:rsidR="000975E7" w:rsidRPr="00ED02A4" w:rsidRDefault="000975E7" w:rsidP="000975E7">
            <w:pPr>
              <w:rPr>
                <w:sz w:val="13"/>
                <w:szCs w:val="13"/>
              </w:rPr>
            </w:pPr>
            <w:r w:rsidRPr="00ED02A4">
              <w:rPr>
                <w:rFonts w:ascii="宋体" w:hAnsi="宋体" w:hint="eastAsia"/>
                <w:sz w:val="13"/>
                <w:szCs w:val="13"/>
              </w:rPr>
              <w:t>核算企业库存现金的增减变动情况</w:t>
            </w:r>
          </w:p>
        </w:tc>
      </w:tr>
      <w:tr w:rsidR="000975E7" w:rsidTr="00ED02A4">
        <w:trPr>
          <w:trHeight w:val="306"/>
        </w:trPr>
        <w:tc>
          <w:tcPr>
            <w:tcW w:w="2108" w:type="dxa"/>
            <w:vMerge/>
          </w:tcPr>
          <w:p w:rsidR="000975E7" w:rsidRPr="001C0F04" w:rsidRDefault="000975E7" w:rsidP="000975E7">
            <w:pPr>
              <w:rPr>
                <w:szCs w:val="21"/>
              </w:rPr>
            </w:pPr>
          </w:p>
        </w:tc>
        <w:tc>
          <w:tcPr>
            <w:tcW w:w="4421" w:type="dxa"/>
          </w:tcPr>
          <w:p w:rsidR="000975E7" w:rsidRPr="00ED02A4" w:rsidRDefault="000975E7" w:rsidP="000975E7">
            <w:pPr>
              <w:rPr>
                <w:sz w:val="13"/>
                <w:szCs w:val="13"/>
              </w:rPr>
            </w:pPr>
            <w:r w:rsidRPr="00ED02A4">
              <w:rPr>
                <w:rFonts w:ascii="宋体" w:hAnsi="宋体" w:hint="eastAsia"/>
                <w:sz w:val="13"/>
                <w:szCs w:val="13"/>
              </w:rPr>
              <w:t>现金的增加数</w:t>
            </w:r>
          </w:p>
        </w:tc>
        <w:tc>
          <w:tcPr>
            <w:tcW w:w="4713" w:type="dxa"/>
          </w:tcPr>
          <w:p w:rsidR="000975E7" w:rsidRPr="00ED02A4" w:rsidRDefault="000975E7" w:rsidP="000975E7">
            <w:pPr>
              <w:rPr>
                <w:sz w:val="13"/>
                <w:szCs w:val="13"/>
              </w:rPr>
            </w:pPr>
            <w:r w:rsidRPr="00ED02A4">
              <w:rPr>
                <w:rFonts w:ascii="宋体" w:hAnsi="宋体" w:hint="eastAsia"/>
                <w:sz w:val="13"/>
                <w:szCs w:val="13"/>
              </w:rPr>
              <w:t>现金的减少数</w:t>
            </w:r>
          </w:p>
        </w:tc>
      </w:tr>
      <w:tr w:rsidR="000975E7" w:rsidTr="00ED02A4">
        <w:trPr>
          <w:trHeight w:val="306"/>
        </w:trPr>
        <w:tc>
          <w:tcPr>
            <w:tcW w:w="2108" w:type="dxa"/>
            <w:vMerge/>
          </w:tcPr>
          <w:p w:rsidR="000975E7" w:rsidRPr="001C0F04" w:rsidRDefault="000975E7" w:rsidP="000975E7">
            <w:pPr>
              <w:rPr>
                <w:szCs w:val="21"/>
              </w:rPr>
            </w:pPr>
          </w:p>
        </w:tc>
        <w:tc>
          <w:tcPr>
            <w:tcW w:w="4421" w:type="dxa"/>
          </w:tcPr>
          <w:p w:rsidR="000975E7" w:rsidRPr="00ED02A4" w:rsidRDefault="00ED02A4" w:rsidP="000975E7">
            <w:pPr>
              <w:rPr>
                <w:sz w:val="13"/>
                <w:szCs w:val="13"/>
              </w:rPr>
            </w:pPr>
            <w:r w:rsidRPr="00ED02A4">
              <w:rPr>
                <w:rFonts w:ascii="宋体" w:hAnsi="宋体" w:hint="eastAsia"/>
                <w:sz w:val="13"/>
                <w:szCs w:val="13"/>
              </w:rPr>
              <w:t>期末余额在借方，</w:t>
            </w:r>
            <w:r w:rsidR="000975E7" w:rsidRPr="00ED02A4">
              <w:rPr>
                <w:rFonts w:ascii="宋体" w:hAnsi="宋体" w:hint="eastAsia"/>
                <w:sz w:val="13"/>
                <w:szCs w:val="13"/>
              </w:rPr>
              <w:t>反映企业期末库存现金的实有金额</w:t>
            </w:r>
          </w:p>
        </w:tc>
        <w:tc>
          <w:tcPr>
            <w:tcW w:w="4713" w:type="dxa"/>
          </w:tcPr>
          <w:p w:rsidR="000975E7" w:rsidRPr="00ED02A4" w:rsidRDefault="000975E7" w:rsidP="000975E7">
            <w:pPr>
              <w:rPr>
                <w:sz w:val="13"/>
                <w:szCs w:val="13"/>
              </w:rPr>
            </w:pPr>
          </w:p>
        </w:tc>
      </w:tr>
      <w:tr w:rsidR="000975E7" w:rsidTr="00ED02A4">
        <w:trPr>
          <w:trHeight w:val="287"/>
        </w:trPr>
        <w:tc>
          <w:tcPr>
            <w:tcW w:w="2108" w:type="dxa"/>
            <w:vMerge w:val="restart"/>
            <w:vAlign w:val="center"/>
          </w:tcPr>
          <w:p w:rsidR="000975E7" w:rsidRPr="001C0F04" w:rsidRDefault="000975E7" w:rsidP="003A4BB5">
            <w:pPr>
              <w:jc w:val="center"/>
              <w:rPr>
                <w:szCs w:val="21"/>
              </w:rPr>
            </w:pPr>
            <w:r w:rsidRPr="001C0F04">
              <w:rPr>
                <w:rFonts w:ascii="宋体" w:hAnsi="宋体" w:hint="eastAsia"/>
                <w:szCs w:val="21"/>
              </w:rPr>
              <w:t>银行存款</w:t>
            </w:r>
          </w:p>
        </w:tc>
        <w:tc>
          <w:tcPr>
            <w:tcW w:w="9134" w:type="dxa"/>
            <w:gridSpan w:val="2"/>
          </w:tcPr>
          <w:p w:rsidR="000975E7" w:rsidRPr="00ED02A4" w:rsidRDefault="000975E7" w:rsidP="003A4BB5">
            <w:pPr>
              <w:rPr>
                <w:sz w:val="13"/>
                <w:szCs w:val="13"/>
              </w:rPr>
            </w:pPr>
            <w:r w:rsidRPr="00ED02A4">
              <w:rPr>
                <w:rFonts w:ascii="宋体" w:hAnsi="宋体" w:hint="eastAsia"/>
                <w:sz w:val="13"/>
                <w:szCs w:val="13"/>
              </w:rPr>
              <w:t>核算企业存入银行和其他金融机构的各种款项的增减变动情况</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0975E7" w:rsidP="003A4BB5">
            <w:pPr>
              <w:rPr>
                <w:sz w:val="13"/>
                <w:szCs w:val="13"/>
              </w:rPr>
            </w:pPr>
            <w:r w:rsidRPr="00ED02A4">
              <w:rPr>
                <w:rFonts w:ascii="宋体" w:hAnsi="宋体" w:hint="eastAsia"/>
                <w:sz w:val="13"/>
                <w:szCs w:val="13"/>
              </w:rPr>
              <w:t>银行存款增加数</w:t>
            </w:r>
          </w:p>
        </w:tc>
        <w:tc>
          <w:tcPr>
            <w:tcW w:w="4713" w:type="dxa"/>
          </w:tcPr>
          <w:p w:rsidR="000975E7" w:rsidRPr="00ED02A4" w:rsidRDefault="000975E7" w:rsidP="003A4BB5">
            <w:pPr>
              <w:rPr>
                <w:sz w:val="13"/>
                <w:szCs w:val="13"/>
              </w:rPr>
            </w:pPr>
            <w:r w:rsidRPr="00ED02A4">
              <w:rPr>
                <w:rFonts w:ascii="宋体" w:hAnsi="宋体" w:hint="eastAsia"/>
                <w:sz w:val="13"/>
                <w:szCs w:val="13"/>
              </w:rPr>
              <w:t>银行存款减少数</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期末余额在借方，</w:t>
            </w:r>
            <w:r w:rsidR="000975E7" w:rsidRPr="00ED02A4">
              <w:rPr>
                <w:rFonts w:ascii="宋体" w:hAnsi="宋体" w:hint="eastAsia"/>
                <w:sz w:val="13"/>
                <w:szCs w:val="13"/>
              </w:rPr>
              <w:t>反映银行存款期末实有金额</w:t>
            </w:r>
          </w:p>
        </w:tc>
        <w:tc>
          <w:tcPr>
            <w:tcW w:w="4713" w:type="dxa"/>
          </w:tcPr>
          <w:p w:rsidR="000975E7" w:rsidRPr="00ED02A4" w:rsidRDefault="000975E7" w:rsidP="003A4BB5">
            <w:pPr>
              <w:rPr>
                <w:sz w:val="13"/>
                <w:szCs w:val="13"/>
              </w:rPr>
            </w:pPr>
          </w:p>
        </w:tc>
      </w:tr>
      <w:tr w:rsidR="000975E7" w:rsidTr="00ED02A4">
        <w:trPr>
          <w:trHeight w:val="287"/>
        </w:trPr>
        <w:tc>
          <w:tcPr>
            <w:tcW w:w="2108" w:type="dxa"/>
            <w:vMerge w:val="restart"/>
            <w:vAlign w:val="center"/>
          </w:tcPr>
          <w:p w:rsidR="000975E7" w:rsidRPr="001C0F04" w:rsidRDefault="000975E7" w:rsidP="003A4BB5">
            <w:pPr>
              <w:jc w:val="center"/>
              <w:rPr>
                <w:szCs w:val="21"/>
              </w:rPr>
            </w:pPr>
            <w:r w:rsidRPr="001C0F04">
              <w:rPr>
                <w:rFonts w:ascii="宋体" w:hAnsi="宋体" w:hint="eastAsia"/>
                <w:szCs w:val="21"/>
              </w:rPr>
              <w:t>交易性金融资产</w:t>
            </w:r>
          </w:p>
        </w:tc>
        <w:tc>
          <w:tcPr>
            <w:tcW w:w="9134" w:type="dxa"/>
            <w:gridSpan w:val="2"/>
          </w:tcPr>
          <w:p w:rsidR="000975E7" w:rsidRPr="00ED02A4" w:rsidRDefault="00ED02A4" w:rsidP="003A4BB5">
            <w:pPr>
              <w:rPr>
                <w:sz w:val="13"/>
                <w:szCs w:val="13"/>
              </w:rPr>
            </w:pPr>
            <w:r w:rsidRPr="00ED02A4">
              <w:rPr>
                <w:rFonts w:ascii="宋体" w:hAnsi="宋体" w:hint="eastAsia"/>
                <w:sz w:val="13"/>
                <w:szCs w:val="13"/>
              </w:rPr>
              <w:t>交易性金融资产主要是指企业为了近期内出售的金融资产，例如企业以赚取差价为目的从二级市场购入的股票、债券、基金等</w:t>
            </w:r>
          </w:p>
        </w:tc>
      </w:tr>
      <w:tr w:rsidR="000975E7" w:rsidTr="00ED02A4">
        <w:trPr>
          <w:trHeight w:val="279"/>
        </w:trPr>
        <w:tc>
          <w:tcPr>
            <w:tcW w:w="2108" w:type="dxa"/>
            <w:vMerge/>
          </w:tcPr>
          <w:p w:rsidR="000975E7" w:rsidRPr="001C0F04" w:rsidRDefault="000975E7" w:rsidP="003A4BB5">
            <w:pPr>
              <w:rPr>
                <w:szCs w:val="21"/>
              </w:rPr>
            </w:pPr>
          </w:p>
        </w:tc>
        <w:tc>
          <w:tcPr>
            <w:tcW w:w="4421" w:type="dxa"/>
          </w:tcPr>
          <w:p w:rsidR="000975E7" w:rsidRPr="00ED02A4" w:rsidRDefault="00ED02A4" w:rsidP="00ED02A4">
            <w:pPr>
              <w:snapToGrid w:val="0"/>
              <w:spacing w:line="240" w:lineRule="atLeast"/>
              <w:rPr>
                <w:sz w:val="11"/>
                <w:szCs w:val="11"/>
              </w:rPr>
            </w:pPr>
            <w:r w:rsidRPr="00ED02A4">
              <w:rPr>
                <w:rFonts w:ascii="宋体" w:hAnsi="宋体" w:hint="eastAsia"/>
                <w:sz w:val="11"/>
                <w:szCs w:val="11"/>
              </w:rPr>
              <w:t>交易性金融资产的取得成本、资产负债表日其公允价值高于账面余额的差额等</w:t>
            </w:r>
          </w:p>
        </w:tc>
        <w:tc>
          <w:tcPr>
            <w:tcW w:w="4713" w:type="dxa"/>
          </w:tcPr>
          <w:p w:rsidR="000975E7" w:rsidRPr="00ED02A4" w:rsidRDefault="00ED02A4" w:rsidP="00ED02A4">
            <w:pPr>
              <w:snapToGrid w:val="0"/>
              <w:spacing w:line="240" w:lineRule="atLeast"/>
              <w:rPr>
                <w:sz w:val="11"/>
                <w:szCs w:val="11"/>
              </w:rPr>
            </w:pPr>
            <w:r w:rsidRPr="00ED02A4">
              <w:rPr>
                <w:rFonts w:ascii="宋体" w:hAnsi="宋体" w:hint="eastAsia"/>
                <w:sz w:val="11"/>
                <w:szCs w:val="11"/>
              </w:rPr>
              <w:t>资产负债表日其公允价值低于账面余额的差额，以及企业出售交易性金融资产时的减少数</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期末余额在借方，反映企业期末持有的交易性金融资产的公允价值</w:t>
            </w:r>
          </w:p>
        </w:tc>
        <w:tc>
          <w:tcPr>
            <w:tcW w:w="4713" w:type="dxa"/>
          </w:tcPr>
          <w:p w:rsidR="000975E7" w:rsidRPr="00ED02A4" w:rsidRDefault="000975E7" w:rsidP="003A4BB5">
            <w:pPr>
              <w:rPr>
                <w:sz w:val="13"/>
                <w:szCs w:val="13"/>
              </w:rPr>
            </w:pPr>
          </w:p>
        </w:tc>
      </w:tr>
      <w:tr w:rsidR="000975E7" w:rsidTr="00ED02A4">
        <w:trPr>
          <w:trHeight w:val="287"/>
        </w:trPr>
        <w:tc>
          <w:tcPr>
            <w:tcW w:w="2108" w:type="dxa"/>
            <w:vMerge w:val="restart"/>
            <w:vAlign w:val="center"/>
          </w:tcPr>
          <w:p w:rsidR="000975E7" w:rsidRPr="001C0F04" w:rsidRDefault="00ED02A4" w:rsidP="003A4BB5">
            <w:pPr>
              <w:jc w:val="center"/>
              <w:rPr>
                <w:szCs w:val="21"/>
              </w:rPr>
            </w:pPr>
            <w:r w:rsidRPr="001C0F04">
              <w:rPr>
                <w:rFonts w:ascii="宋体" w:hAnsi="宋体" w:hint="eastAsia"/>
                <w:szCs w:val="21"/>
              </w:rPr>
              <w:t>应收账款</w:t>
            </w:r>
          </w:p>
        </w:tc>
        <w:tc>
          <w:tcPr>
            <w:tcW w:w="9134" w:type="dxa"/>
            <w:gridSpan w:val="2"/>
          </w:tcPr>
          <w:p w:rsidR="000975E7" w:rsidRPr="00ED02A4" w:rsidRDefault="00ED02A4" w:rsidP="003A4BB5">
            <w:pPr>
              <w:rPr>
                <w:sz w:val="13"/>
                <w:szCs w:val="13"/>
              </w:rPr>
            </w:pPr>
            <w:r w:rsidRPr="00ED02A4">
              <w:rPr>
                <w:rFonts w:ascii="宋体" w:hAnsi="宋体" w:hint="eastAsia"/>
                <w:sz w:val="13"/>
                <w:szCs w:val="13"/>
              </w:rPr>
              <w:t>核算企业因销售商品、产品、提供劳务等，应向购货单位或接受劳务单位收取的款项</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应收账款的发生数</w:t>
            </w:r>
          </w:p>
        </w:tc>
        <w:tc>
          <w:tcPr>
            <w:tcW w:w="4713" w:type="dxa"/>
          </w:tcPr>
          <w:p w:rsidR="000975E7" w:rsidRPr="00ED02A4" w:rsidRDefault="00ED02A4" w:rsidP="003A4BB5">
            <w:pPr>
              <w:rPr>
                <w:sz w:val="13"/>
                <w:szCs w:val="13"/>
              </w:rPr>
            </w:pPr>
            <w:r w:rsidRPr="00ED02A4">
              <w:rPr>
                <w:rFonts w:ascii="宋体" w:hAnsi="宋体" w:hint="eastAsia"/>
                <w:sz w:val="13"/>
                <w:szCs w:val="13"/>
              </w:rPr>
              <w:t>应收账款的收回数</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期末余额一般在借方，反映企业期末尚未收回的账款</w:t>
            </w:r>
          </w:p>
        </w:tc>
        <w:tc>
          <w:tcPr>
            <w:tcW w:w="4713" w:type="dxa"/>
          </w:tcPr>
          <w:p w:rsidR="000975E7" w:rsidRPr="00ED02A4" w:rsidRDefault="000975E7" w:rsidP="003A4BB5">
            <w:pPr>
              <w:rPr>
                <w:sz w:val="13"/>
                <w:szCs w:val="13"/>
              </w:rPr>
            </w:pPr>
          </w:p>
        </w:tc>
      </w:tr>
      <w:tr w:rsidR="000975E7" w:rsidTr="00ED02A4">
        <w:trPr>
          <w:trHeight w:val="287"/>
        </w:trPr>
        <w:tc>
          <w:tcPr>
            <w:tcW w:w="2108" w:type="dxa"/>
            <w:vMerge w:val="restart"/>
            <w:vAlign w:val="center"/>
          </w:tcPr>
          <w:p w:rsidR="000975E7" w:rsidRPr="001C0F04" w:rsidRDefault="00ED02A4" w:rsidP="003A4BB5">
            <w:pPr>
              <w:jc w:val="center"/>
              <w:rPr>
                <w:szCs w:val="21"/>
              </w:rPr>
            </w:pPr>
            <w:r w:rsidRPr="001C0F04">
              <w:rPr>
                <w:rFonts w:ascii="宋体" w:hAnsi="宋体" w:hint="eastAsia"/>
                <w:color w:val="4472C4" w:themeColor="accent1"/>
                <w:szCs w:val="21"/>
              </w:rPr>
              <w:t>坏账准备</w:t>
            </w:r>
          </w:p>
        </w:tc>
        <w:tc>
          <w:tcPr>
            <w:tcW w:w="9134" w:type="dxa"/>
            <w:gridSpan w:val="2"/>
          </w:tcPr>
          <w:p w:rsidR="000975E7" w:rsidRPr="00ED02A4" w:rsidRDefault="00ED02A4" w:rsidP="003A4BB5">
            <w:pPr>
              <w:rPr>
                <w:sz w:val="13"/>
                <w:szCs w:val="13"/>
              </w:rPr>
            </w:pPr>
            <w:r w:rsidRPr="00ED02A4">
              <w:rPr>
                <w:rFonts w:ascii="宋体" w:hAnsi="宋体" w:hint="eastAsia"/>
                <w:color w:val="4472C4" w:themeColor="accent1"/>
                <w:sz w:val="13"/>
                <w:szCs w:val="13"/>
              </w:rPr>
              <w:t>应收账款等的备抵账户</w:t>
            </w:r>
            <w:r w:rsidRPr="00ED02A4">
              <w:rPr>
                <w:rFonts w:ascii="宋体" w:hAnsi="宋体" w:hint="eastAsia"/>
                <w:sz w:val="13"/>
                <w:szCs w:val="13"/>
              </w:rPr>
              <w:t>，</w:t>
            </w:r>
            <w:r w:rsidRPr="00ED02A4">
              <w:rPr>
                <w:rFonts w:ascii="宋体" w:hAnsi="宋体" w:hint="eastAsia"/>
                <w:sz w:val="13"/>
                <w:szCs w:val="13"/>
              </w:rPr>
              <w:t>核算债权的坏账准备</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实际发生坏账及冲回多提坏账</w:t>
            </w:r>
          </w:p>
        </w:tc>
        <w:tc>
          <w:tcPr>
            <w:tcW w:w="4713" w:type="dxa"/>
          </w:tcPr>
          <w:p w:rsidR="000975E7" w:rsidRPr="00ED02A4" w:rsidRDefault="00ED02A4" w:rsidP="003A4BB5">
            <w:pPr>
              <w:rPr>
                <w:sz w:val="13"/>
                <w:szCs w:val="13"/>
              </w:rPr>
            </w:pPr>
            <w:r w:rsidRPr="00ED02A4">
              <w:rPr>
                <w:rFonts w:ascii="宋体" w:hAnsi="宋体" w:hint="eastAsia"/>
                <w:sz w:val="13"/>
                <w:szCs w:val="13"/>
              </w:rPr>
              <w:t>计提坏账准备</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0975E7" w:rsidP="003A4BB5">
            <w:pPr>
              <w:rPr>
                <w:sz w:val="13"/>
                <w:szCs w:val="13"/>
              </w:rPr>
            </w:pPr>
          </w:p>
        </w:tc>
        <w:tc>
          <w:tcPr>
            <w:tcW w:w="4713" w:type="dxa"/>
          </w:tcPr>
          <w:p w:rsidR="000975E7" w:rsidRPr="00ED02A4" w:rsidRDefault="00ED02A4" w:rsidP="003A4BB5">
            <w:pPr>
              <w:rPr>
                <w:sz w:val="13"/>
                <w:szCs w:val="13"/>
              </w:rPr>
            </w:pPr>
            <w:r w:rsidRPr="00ED02A4">
              <w:rPr>
                <w:rFonts w:ascii="宋体" w:hAnsi="宋体" w:hint="eastAsia"/>
                <w:color w:val="4472C4" w:themeColor="accent1"/>
                <w:sz w:val="13"/>
                <w:szCs w:val="13"/>
              </w:rPr>
              <w:t>期末余额在贷方，反映企业备抵数</w:t>
            </w:r>
          </w:p>
        </w:tc>
      </w:tr>
      <w:tr w:rsidR="000975E7" w:rsidTr="00ED02A4">
        <w:trPr>
          <w:trHeight w:val="287"/>
        </w:trPr>
        <w:tc>
          <w:tcPr>
            <w:tcW w:w="2108" w:type="dxa"/>
            <w:vMerge w:val="restart"/>
            <w:vAlign w:val="center"/>
          </w:tcPr>
          <w:p w:rsidR="000975E7" w:rsidRPr="001C0F04" w:rsidRDefault="00ED02A4" w:rsidP="003A4BB5">
            <w:pPr>
              <w:jc w:val="center"/>
              <w:rPr>
                <w:szCs w:val="21"/>
              </w:rPr>
            </w:pPr>
            <w:r w:rsidRPr="001C0F04">
              <w:rPr>
                <w:rFonts w:ascii="宋体" w:hAnsi="宋体" w:hint="eastAsia"/>
                <w:szCs w:val="21"/>
              </w:rPr>
              <w:t>其他应收款</w:t>
            </w:r>
          </w:p>
        </w:tc>
        <w:tc>
          <w:tcPr>
            <w:tcW w:w="9134" w:type="dxa"/>
            <w:gridSpan w:val="2"/>
          </w:tcPr>
          <w:p w:rsidR="000975E7" w:rsidRPr="00ED02A4" w:rsidRDefault="00ED02A4" w:rsidP="003A4BB5">
            <w:pPr>
              <w:rPr>
                <w:sz w:val="13"/>
                <w:szCs w:val="13"/>
              </w:rPr>
            </w:pPr>
            <w:r w:rsidRPr="00ED02A4">
              <w:rPr>
                <w:rFonts w:ascii="宋体" w:hAnsi="宋体" w:hint="eastAsia"/>
                <w:sz w:val="13"/>
                <w:szCs w:val="13"/>
              </w:rPr>
              <w:t>核算企业除应收票据、应收账款、预付账款等以外的其他各种应收、暂付款项</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其他应收款的发生数</w:t>
            </w:r>
          </w:p>
        </w:tc>
        <w:tc>
          <w:tcPr>
            <w:tcW w:w="4713" w:type="dxa"/>
          </w:tcPr>
          <w:p w:rsidR="000975E7" w:rsidRPr="00ED02A4" w:rsidRDefault="00ED02A4" w:rsidP="003A4BB5">
            <w:pPr>
              <w:rPr>
                <w:sz w:val="13"/>
                <w:szCs w:val="13"/>
              </w:rPr>
            </w:pPr>
            <w:r w:rsidRPr="00ED02A4">
              <w:rPr>
                <w:rFonts w:ascii="宋体" w:hAnsi="宋体" w:hint="eastAsia"/>
                <w:sz w:val="13"/>
                <w:szCs w:val="13"/>
              </w:rPr>
              <w:t>其他应收款收回数</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期末余额一般在借方，反映企业尚未收回的其他应收款</w:t>
            </w:r>
          </w:p>
        </w:tc>
        <w:tc>
          <w:tcPr>
            <w:tcW w:w="4713" w:type="dxa"/>
          </w:tcPr>
          <w:p w:rsidR="000975E7" w:rsidRPr="00ED02A4" w:rsidRDefault="000975E7" w:rsidP="003A4BB5">
            <w:pPr>
              <w:rPr>
                <w:sz w:val="13"/>
                <w:szCs w:val="13"/>
              </w:rPr>
            </w:pPr>
          </w:p>
        </w:tc>
      </w:tr>
      <w:tr w:rsidR="000975E7" w:rsidTr="00ED02A4">
        <w:trPr>
          <w:trHeight w:val="287"/>
        </w:trPr>
        <w:tc>
          <w:tcPr>
            <w:tcW w:w="2108" w:type="dxa"/>
            <w:vMerge w:val="restart"/>
            <w:vAlign w:val="center"/>
          </w:tcPr>
          <w:p w:rsidR="000975E7" w:rsidRPr="001C0F04" w:rsidRDefault="00ED02A4" w:rsidP="003A4BB5">
            <w:pPr>
              <w:jc w:val="center"/>
              <w:rPr>
                <w:szCs w:val="21"/>
              </w:rPr>
            </w:pPr>
            <w:r w:rsidRPr="001C0F04">
              <w:rPr>
                <w:rFonts w:ascii="宋体" w:hAnsi="宋体" w:hint="eastAsia"/>
                <w:szCs w:val="21"/>
              </w:rPr>
              <w:t>预付账款</w:t>
            </w:r>
          </w:p>
        </w:tc>
        <w:tc>
          <w:tcPr>
            <w:tcW w:w="9134" w:type="dxa"/>
            <w:gridSpan w:val="2"/>
          </w:tcPr>
          <w:p w:rsidR="000975E7" w:rsidRPr="00ED02A4" w:rsidRDefault="00ED02A4" w:rsidP="003A4BB5">
            <w:pPr>
              <w:rPr>
                <w:sz w:val="13"/>
                <w:szCs w:val="13"/>
              </w:rPr>
            </w:pPr>
            <w:r w:rsidRPr="00ED02A4">
              <w:rPr>
                <w:rFonts w:ascii="宋体" w:hAnsi="宋体" w:hint="eastAsia"/>
                <w:sz w:val="13"/>
                <w:szCs w:val="13"/>
              </w:rPr>
              <w:t>核算企业按照购货合同规定预先支付给供货单位的货款</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因购货而预付的款项</w:t>
            </w:r>
          </w:p>
        </w:tc>
        <w:tc>
          <w:tcPr>
            <w:tcW w:w="4713" w:type="dxa"/>
          </w:tcPr>
          <w:p w:rsidR="000975E7" w:rsidRPr="00ED02A4" w:rsidRDefault="00ED02A4" w:rsidP="003A4BB5">
            <w:pPr>
              <w:rPr>
                <w:sz w:val="15"/>
                <w:szCs w:val="15"/>
              </w:rPr>
            </w:pPr>
            <w:r w:rsidRPr="00ED02A4">
              <w:rPr>
                <w:rFonts w:ascii="宋体" w:hAnsi="宋体" w:hint="eastAsia"/>
                <w:sz w:val="15"/>
                <w:szCs w:val="15"/>
              </w:rPr>
              <w:t>收到所购物资而应冲销的预付款项</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期末余额一般在借方，反映企业实际预付的款项</w:t>
            </w:r>
          </w:p>
        </w:tc>
        <w:tc>
          <w:tcPr>
            <w:tcW w:w="4713" w:type="dxa"/>
          </w:tcPr>
          <w:p w:rsidR="000975E7" w:rsidRPr="00ED02A4" w:rsidRDefault="000975E7" w:rsidP="003A4BB5">
            <w:pPr>
              <w:rPr>
                <w:sz w:val="15"/>
                <w:szCs w:val="15"/>
              </w:rPr>
            </w:pPr>
          </w:p>
        </w:tc>
      </w:tr>
      <w:tr w:rsidR="000975E7" w:rsidTr="00ED02A4">
        <w:trPr>
          <w:trHeight w:val="287"/>
        </w:trPr>
        <w:tc>
          <w:tcPr>
            <w:tcW w:w="2108" w:type="dxa"/>
            <w:vMerge w:val="restart"/>
            <w:vAlign w:val="center"/>
          </w:tcPr>
          <w:p w:rsidR="000975E7" w:rsidRPr="001C0F04" w:rsidRDefault="00ED02A4" w:rsidP="003A4BB5">
            <w:pPr>
              <w:jc w:val="center"/>
              <w:rPr>
                <w:szCs w:val="21"/>
              </w:rPr>
            </w:pPr>
            <w:r w:rsidRPr="001C0F04">
              <w:rPr>
                <w:rFonts w:ascii="宋体" w:hAnsi="宋体" w:hint="eastAsia"/>
                <w:szCs w:val="21"/>
              </w:rPr>
              <w:t>原材料</w:t>
            </w:r>
          </w:p>
        </w:tc>
        <w:tc>
          <w:tcPr>
            <w:tcW w:w="9134" w:type="dxa"/>
            <w:gridSpan w:val="2"/>
          </w:tcPr>
          <w:p w:rsidR="000975E7" w:rsidRPr="00ED02A4" w:rsidRDefault="00ED02A4" w:rsidP="003A4BB5">
            <w:pPr>
              <w:rPr>
                <w:sz w:val="13"/>
                <w:szCs w:val="13"/>
              </w:rPr>
            </w:pPr>
            <w:r w:rsidRPr="00ED02A4">
              <w:rPr>
                <w:rFonts w:ascii="宋体" w:hAnsi="宋体" w:hint="eastAsia"/>
                <w:sz w:val="13"/>
                <w:szCs w:val="13"/>
              </w:rPr>
              <w:t>核算企业库存的各种材料的实际成本</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验收入库材料的实际成本</w:t>
            </w:r>
          </w:p>
        </w:tc>
        <w:tc>
          <w:tcPr>
            <w:tcW w:w="4713" w:type="dxa"/>
          </w:tcPr>
          <w:p w:rsidR="000975E7" w:rsidRPr="00ED02A4" w:rsidRDefault="00ED02A4" w:rsidP="003A4BB5">
            <w:pPr>
              <w:rPr>
                <w:sz w:val="13"/>
                <w:szCs w:val="13"/>
              </w:rPr>
            </w:pPr>
            <w:r w:rsidRPr="00ED02A4">
              <w:rPr>
                <w:rFonts w:ascii="宋体" w:hAnsi="宋体" w:hint="eastAsia"/>
                <w:sz w:val="13"/>
                <w:szCs w:val="13"/>
              </w:rPr>
              <w:t>发出材料的实际成本</w:t>
            </w:r>
          </w:p>
        </w:tc>
      </w:tr>
      <w:tr w:rsidR="000975E7" w:rsidTr="00ED02A4">
        <w:trPr>
          <w:trHeight w:val="90"/>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期末余额在借方，反映企业库存材料的实际成本</w:t>
            </w:r>
          </w:p>
        </w:tc>
        <w:tc>
          <w:tcPr>
            <w:tcW w:w="4713" w:type="dxa"/>
          </w:tcPr>
          <w:p w:rsidR="000975E7" w:rsidRPr="00ED02A4" w:rsidRDefault="000975E7" w:rsidP="003A4BB5">
            <w:pPr>
              <w:rPr>
                <w:sz w:val="13"/>
                <w:szCs w:val="13"/>
              </w:rPr>
            </w:pPr>
          </w:p>
        </w:tc>
      </w:tr>
      <w:tr w:rsidR="000975E7" w:rsidTr="00ED02A4">
        <w:trPr>
          <w:trHeight w:val="287"/>
        </w:trPr>
        <w:tc>
          <w:tcPr>
            <w:tcW w:w="2108" w:type="dxa"/>
            <w:vMerge w:val="restart"/>
            <w:vAlign w:val="center"/>
          </w:tcPr>
          <w:p w:rsidR="000975E7" w:rsidRPr="001C0F04" w:rsidRDefault="00ED02A4" w:rsidP="003A4BB5">
            <w:pPr>
              <w:jc w:val="center"/>
              <w:rPr>
                <w:szCs w:val="21"/>
              </w:rPr>
            </w:pPr>
            <w:r w:rsidRPr="001C0F04">
              <w:rPr>
                <w:rFonts w:ascii="宋体" w:hAnsi="宋体" w:hint="eastAsia"/>
                <w:szCs w:val="21"/>
              </w:rPr>
              <w:t>库存商品</w:t>
            </w:r>
          </w:p>
        </w:tc>
        <w:tc>
          <w:tcPr>
            <w:tcW w:w="9134" w:type="dxa"/>
            <w:gridSpan w:val="2"/>
          </w:tcPr>
          <w:p w:rsidR="000975E7" w:rsidRPr="00ED02A4" w:rsidRDefault="00ED02A4" w:rsidP="003A4BB5">
            <w:pPr>
              <w:rPr>
                <w:sz w:val="13"/>
                <w:szCs w:val="13"/>
              </w:rPr>
            </w:pPr>
            <w:r w:rsidRPr="00ED02A4">
              <w:rPr>
                <w:rFonts w:ascii="宋体" w:hAnsi="宋体" w:hint="eastAsia"/>
                <w:sz w:val="13"/>
                <w:szCs w:val="13"/>
              </w:rPr>
              <w:t>核算企业库存的各种商品的实际成本，包括库存的外购商品、自制产品、存放在门市部准备出售的商品、发出展览的商品以及寄存在外的商品等</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完工验收入库的产成品以及外购入库商品的实际成本</w:t>
            </w:r>
          </w:p>
        </w:tc>
        <w:tc>
          <w:tcPr>
            <w:tcW w:w="4713" w:type="dxa"/>
          </w:tcPr>
          <w:p w:rsidR="000975E7" w:rsidRPr="00ED02A4" w:rsidRDefault="00ED02A4" w:rsidP="003A4BB5">
            <w:pPr>
              <w:rPr>
                <w:sz w:val="13"/>
                <w:szCs w:val="13"/>
              </w:rPr>
            </w:pPr>
            <w:r w:rsidRPr="00ED02A4">
              <w:rPr>
                <w:rFonts w:ascii="宋体" w:hAnsi="宋体" w:hint="eastAsia"/>
                <w:sz w:val="13"/>
                <w:szCs w:val="13"/>
              </w:rPr>
              <w:t>发出产成品、商品的实际成本</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期末余额在借方，反映企业库存实有商品的实际成本</w:t>
            </w:r>
          </w:p>
        </w:tc>
        <w:tc>
          <w:tcPr>
            <w:tcW w:w="4713" w:type="dxa"/>
          </w:tcPr>
          <w:p w:rsidR="000975E7" w:rsidRPr="00ED02A4" w:rsidRDefault="000975E7" w:rsidP="003A4BB5">
            <w:pPr>
              <w:rPr>
                <w:sz w:val="13"/>
                <w:szCs w:val="13"/>
              </w:rPr>
            </w:pPr>
          </w:p>
        </w:tc>
      </w:tr>
      <w:tr w:rsidR="000975E7" w:rsidTr="00ED02A4">
        <w:trPr>
          <w:trHeight w:val="287"/>
        </w:trPr>
        <w:tc>
          <w:tcPr>
            <w:tcW w:w="2108" w:type="dxa"/>
            <w:vMerge w:val="restart"/>
            <w:vAlign w:val="center"/>
          </w:tcPr>
          <w:p w:rsidR="000975E7" w:rsidRPr="001C0F04" w:rsidRDefault="00ED02A4" w:rsidP="003A4BB5">
            <w:pPr>
              <w:jc w:val="center"/>
              <w:rPr>
                <w:szCs w:val="21"/>
              </w:rPr>
            </w:pPr>
            <w:r w:rsidRPr="001C0F04">
              <w:rPr>
                <w:rFonts w:ascii="宋体" w:hAnsi="宋体" w:hint="eastAsia"/>
                <w:szCs w:val="21"/>
              </w:rPr>
              <w:t>周转材料</w:t>
            </w:r>
          </w:p>
        </w:tc>
        <w:tc>
          <w:tcPr>
            <w:tcW w:w="9134" w:type="dxa"/>
            <w:gridSpan w:val="2"/>
          </w:tcPr>
          <w:p w:rsidR="000975E7" w:rsidRPr="00ED02A4" w:rsidRDefault="00ED02A4" w:rsidP="003A4BB5">
            <w:pPr>
              <w:rPr>
                <w:sz w:val="13"/>
                <w:szCs w:val="13"/>
              </w:rPr>
            </w:pPr>
            <w:r w:rsidRPr="00ED02A4">
              <w:rPr>
                <w:rFonts w:ascii="宋体" w:hAnsi="宋体" w:hint="eastAsia"/>
                <w:sz w:val="13"/>
                <w:szCs w:val="13"/>
              </w:rPr>
              <w:t>核算企业周转材料的实际成本包括包装物、低值易耗品，如专用工具、劳动保护用品等</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包装物、低值易耗品的增加</w:t>
            </w:r>
          </w:p>
        </w:tc>
        <w:tc>
          <w:tcPr>
            <w:tcW w:w="4713" w:type="dxa"/>
          </w:tcPr>
          <w:p w:rsidR="000975E7" w:rsidRPr="00ED02A4" w:rsidRDefault="00ED02A4" w:rsidP="003A4BB5">
            <w:pPr>
              <w:rPr>
                <w:sz w:val="13"/>
                <w:szCs w:val="13"/>
              </w:rPr>
            </w:pPr>
            <w:r w:rsidRPr="00ED02A4">
              <w:rPr>
                <w:rFonts w:ascii="宋体" w:hAnsi="宋体" w:hint="eastAsia"/>
                <w:sz w:val="13"/>
                <w:szCs w:val="13"/>
              </w:rPr>
              <w:t>包装物、低值易耗品的减少</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期末余额在借方，反映企业期末持有的周转材料的实际成本</w:t>
            </w:r>
          </w:p>
        </w:tc>
        <w:tc>
          <w:tcPr>
            <w:tcW w:w="4713" w:type="dxa"/>
          </w:tcPr>
          <w:p w:rsidR="000975E7" w:rsidRPr="00ED02A4" w:rsidRDefault="000975E7" w:rsidP="003A4BB5">
            <w:pPr>
              <w:rPr>
                <w:sz w:val="13"/>
                <w:szCs w:val="13"/>
              </w:rPr>
            </w:pPr>
          </w:p>
        </w:tc>
      </w:tr>
      <w:tr w:rsidR="000975E7" w:rsidTr="00ED02A4">
        <w:trPr>
          <w:trHeight w:val="287"/>
        </w:trPr>
        <w:tc>
          <w:tcPr>
            <w:tcW w:w="2108" w:type="dxa"/>
            <w:vMerge w:val="restart"/>
            <w:vAlign w:val="center"/>
          </w:tcPr>
          <w:p w:rsidR="000975E7" w:rsidRPr="001C0F04" w:rsidRDefault="00ED02A4" w:rsidP="003A4BB5">
            <w:pPr>
              <w:jc w:val="center"/>
              <w:rPr>
                <w:szCs w:val="21"/>
              </w:rPr>
            </w:pPr>
            <w:r w:rsidRPr="001C0F04">
              <w:rPr>
                <w:rFonts w:ascii="宋体" w:hAnsi="宋体" w:hint="eastAsia"/>
                <w:szCs w:val="21"/>
              </w:rPr>
              <w:t>固定资产</w:t>
            </w:r>
          </w:p>
        </w:tc>
        <w:tc>
          <w:tcPr>
            <w:tcW w:w="9134" w:type="dxa"/>
            <w:gridSpan w:val="2"/>
          </w:tcPr>
          <w:p w:rsidR="000975E7" w:rsidRPr="00ED02A4" w:rsidRDefault="00ED02A4" w:rsidP="003A4BB5">
            <w:pPr>
              <w:rPr>
                <w:sz w:val="13"/>
                <w:szCs w:val="13"/>
              </w:rPr>
            </w:pPr>
            <w:r w:rsidRPr="00ED02A4">
              <w:rPr>
                <w:rFonts w:ascii="宋体" w:hAnsi="宋体" w:hint="eastAsia"/>
                <w:sz w:val="13"/>
                <w:szCs w:val="13"/>
              </w:rPr>
              <w:t>该账户核算企业固定资产的原始价值</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ED02A4">
            <w:pPr>
              <w:snapToGrid w:val="0"/>
              <w:spacing w:line="240" w:lineRule="atLeast"/>
              <w:rPr>
                <w:sz w:val="11"/>
                <w:szCs w:val="11"/>
              </w:rPr>
            </w:pPr>
            <w:r w:rsidRPr="00ED02A4">
              <w:rPr>
                <w:rFonts w:ascii="宋体" w:hAnsi="宋体" w:hint="eastAsia"/>
                <w:sz w:val="11"/>
                <w:szCs w:val="11"/>
              </w:rPr>
              <w:t>企业由于购建、投资人投入、盘盈、接受捐赠等使固定资产原始价值的增加数</w:t>
            </w:r>
          </w:p>
        </w:tc>
        <w:tc>
          <w:tcPr>
            <w:tcW w:w="4713" w:type="dxa"/>
          </w:tcPr>
          <w:p w:rsidR="000975E7" w:rsidRPr="00ED02A4" w:rsidRDefault="00ED02A4" w:rsidP="003A4BB5">
            <w:pPr>
              <w:rPr>
                <w:sz w:val="13"/>
                <w:szCs w:val="13"/>
              </w:rPr>
            </w:pPr>
            <w:r w:rsidRPr="00ED02A4">
              <w:rPr>
                <w:rFonts w:ascii="宋体" w:hAnsi="宋体" w:hint="eastAsia"/>
                <w:sz w:val="13"/>
                <w:szCs w:val="13"/>
              </w:rPr>
              <w:t>由于出售、报废、抵债等情况使固定资产原始价值的减少数</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期末余额在借方，反映企业期末固定资产的原始价值</w:t>
            </w:r>
          </w:p>
        </w:tc>
        <w:tc>
          <w:tcPr>
            <w:tcW w:w="4713" w:type="dxa"/>
          </w:tcPr>
          <w:p w:rsidR="000975E7" w:rsidRPr="00ED02A4" w:rsidRDefault="000975E7" w:rsidP="003A4BB5">
            <w:pPr>
              <w:rPr>
                <w:sz w:val="13"/>
                <w:szCs w:val="13"/>
              </w:rPr>
            </w:pPr>
          </w:p>
        </w:tc>
      </w:tr>
      <w:tr w:rsidR="000975E7" w:rsidTr="00ED02A4">
        <w:trPr>
          <w:trHeight w:val="287"/>
        </w:trPr>
        <w:tc>
          <w:tcPr>
            <w:tcW w:w="2108" w:type="dxa"/>
            <w:vMerge w:val="restart"/>
            <w:vAlign w:val="center"/>
          </w:tcPr>
          <w:p w:rsidR="000975E7" w:rsidRPr="001C0F04" w:rsidRDefault="00ED02A4" w:rsidP="003A4BB5">
            <w:pPr>
              <w:jc w:val="center"/>
              <w:rPr>
                <w:szCs w:val="21"/>
              </w:rPr>
            </w:pPr>
            <w:r w:rsidRPr="001C0F04">
              <w:rPr>
                <w:rFonts w:ascii="宋体" w:hAnsi="宋体" w:hint="eastAsia"/>
                <w:color w:val="4472C4" w:themeColor="accent1"/>
                <w:szCs w:val="21"/>
              </w:rPr>
              <w:t>累计折旧</w:t>
            </w:r>
          </w:p>
        </w:tc>
        <w:tc>
          <w:tcPr>
            <w:tcW w:w="9134" w:type="dxa"/>
            <w:gridSpan w:val="2"/>
          </w:tcPr>
          <w:p w:rsidR="000975E7" w:rsidRPr="00ED02A4" w:rsidRDefault="00ED02A4" w:rsidP="003A4BB5">
            <w:pPr>
              <w:rPr>
                <w:sz w:val="13"/>
                <w:szCs w:val="13"/>
              </w:rPr>
            </w:pPr>
            <w:r w:rsidRPr="00ED02A4">
              <w:rPr>
                <w:rFonts w:ascii="宋体" w:hAnsi="宋体" w:hint="eastAsia"/>
                <w:color w:val="4472C4" w:themeColor="accent1"/>
                <w:sz w:val="13"/>
                <w:szCs w:val="13"/>
              </w:rPr>
              <w:t>是固定资产的备抵账户</w:t>
            </w:r>
            <w:r w:rsidRPr="00ED02A4">
              <w:rPr>
                <w:rFonts w:ascii="宋体" w:hAnsi="宋体" w:hint="eastAsia"/>
                <w:sz w:val="13"/>
                <w:szCs w:val="13"/>
              </w:rPr>
              <w:t>，用来核算企业固定资产在使用过程中由于损耗而减少的价值，即折旧数额</w:t>
            </w:r>
          </w:p>
        </w:tc>
        <w:bookmarkStart w:id="0" w:name="_GoBack"/>
        <w:bookmarkEnd w:id="0"/>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ED02A4">
            <w:pPr>
              <w:snapToGrid w:val="0"/>
              <w:spacing w:line="0" w:lineRule="atLeast"/>
              <w:rPr>
                <w:sz w:val="11"/>
                <w:szCs w:val="11"/>
              </w:rPr>
            </w:pPr>
            <w:r w:rsidRPr="00ED02A4">
              <w:rPr>
                <w:rFonts w:ascii="宋体" w:hAnsi="宋体" w:hint="eastAsia"/>
                <w:sz w:val="11"/>
                <w:szCs w:val="11"/>
              </w:rPr>
              <w:t>已提固定资产折旧累计减少或转销数，即由于出售、报废、抵债、对外投资等原因减少的固定资产的已提折旧数</w:t>
            </w:r>
          </w:p>
        </w:tc>
        <w:tc>
          <w:tcPr>
            <w:tcW w:w="4713" w:type="dxa"/>
          </w:tcPr>
          <w:p w:rsidR="000975E7" w:rsidRPr="00ED02A4" w:rsidRDefault="00ED02A4" w:rsidP="003A4BB5">
            <w:pPr>
              <w:rPr>
                <w:sz w:val="15"/>
                <w:szCs w:val="15"/>
              </w:rPr>
            </w:pPr>
            <w:r w:rsidRPr="00ED02A4">
              <w:rPr>
                <w:rFonts w:ascii="宋体" w:hAnsi="宋体" w:hint="eastAsia"/>
                <w:sz w:val="15"/>
                <w:szCs w:val="15"/>
              </w:rPr>
              <w:t>固定资产累计折旧增加数（即固定资产价值减少）</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Default="000975E7" w:rsidP="003A4BB5"/>
        </w:tc>
        <w:tc>
          <w:tcPr>
            <w:tcW w:w="4713" w:type="dxa"/>
          </w:tcPr>
          <w:p w:rsidR="000975E7" w:rsidRPr="00ED02A4" w:rsidRDefault="00ED02A4" w:rsidP="003A4BB5">
            <w:pPr>
              <w:rPr>
                <w:sz w:val="13"/>
                <w:szCs w:val="13"/>
              </w:rPr>
            </w:pPr>
            <w:r w:rsidRPr="00ED02A4">
              <w:rPr>
                <w:rFonts w:ascii="宋体" w:hAnsi="宋体" w:hint="eastAsia"/>
                <w:color w:val="4472C4" w:themeColor="accent1"/>
                <w:sz w:val="13"/>
                <w:szCs w:val="13"/>
              </w:rPr>
              <w:t>期末余额在贷方，反映企业现有固定资产的折旧累计数</w:t>
            </w:r>
          </w:p>
        </w:tc>
      </w:tr>
      <w:tr w:rsidR="000975E7" w:rsidTr="00ED02A4">
        <w:trPr>
          <w:trHeight w:val="287"/>
        </w:trPr>
        <w:tc>
          <w:tcPr>
            <w:tcW w:w="2108" w:type="dxa"/>
            <w:vMerge w:val="restart"/>
            <w:vAlign w:val="center"/>
          </w:tcPr>
          <w:p w:rsidR="000975E7" w:rsidRPr="001C0F04" w:rsidRDefault="00ED02A4" w:rsidP="003A4BB5">
            <w:pPr>
              <w:jc w:val="center"/>
              <w:rPr>
                <w:szCs w:val="21"/>
              </w:rPr>
            </w:pPr>
            <w:r w:rsidRPr="001C0F04">
              <w:rPr>
                <w:rFonts w:ascii="宋体" w:hAnsi="宋体" w:hint="eastAsia"/>
                <w:szCs w:val="21"/>
              </w:rPr>
              <w:t>固定资产清理</w:t>
            </w:r>
          </w:p>
        </w:tc>
        <w:tc>
          <w:tcPr>
            <w:tcW w:w="9134" w:type="dxa"/>
            <w:gridSpan w:val="2"/>
          </w:tcPr>
          <w:p w:rsidR="000975E7" w:rsidRPr="00ED02A4" w:rsidRDefault="00ED02A4" w:rsidP="003A4BB5">
            <w:pPr>
              <w:rPr>
                <w:sz w:val="13"/>
                <w:szCs w:val="13"/>
              </w:rPr>
            </w:pPr>
            <w:r w:rsidRPr="00ED02A4">
              <w:rPr>
                <w:rFonts w:ascii="宋体" w:hAnsi="宋体" w:hint="eastAsia"/>
                <w:sz w:val="13"/>
                <w:szCs w:val="13"/>
              </w:rPr>
              <w:t>核算企业因出售、报废、毁损、对外投资、非货币性资产交换、债务重组等原因转出的清理的固定资产价值及在清理过程中发生的费用和清理收入等</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转出的固定资产账面价值、清理过程中应支付的相关税费及其他费用</w:t>
            </w:r>
          </w:p>
        </w:tc>
        <w:tc>
          <w:tcPr>
            <w:tcW w:w="4713" w:type="dxa"/>
          </w:tcPr>
          <w:p w:rsidR="000975E7" w:rsidRPr="00ED02A4" w:rsidRDefault="00ED02A4" w:rsidP="003A4BB5">
            <w:pPr>
              <w:rPr>
                <w:sz w:val="11"/>
                <w:szCs w:val="11"/>
              </w:rPr>
            </w:pPr>
            <w:r w:rsidRPr="00ED02A4">
              <w:rPr>
                <w:rFonts w:ascii="宋体" w:hAnsi="宋体" w:hint="eastAsia"/>
                <w:sz w:val="11"/>
                <w:szCs w:val="11"/>
              </w:rPr>
              <w:t>清理固定资产的出售价款、残料价值、变价收入、应由过失人或保险公司赔偿的损失</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ED02A4">
            <w:pPr>
              <w:rPr>
                <w:rFonts w:ascii="宋体" w:hAnsi="宋体" w:hint="eastAsia"/>
                <w:sz w:val="13"/>
                <w:szCs w:val="13"/>
              </w:rPr>
            </w:pPr>
            <w:r w:rsidRPr="00ED02A4">
              <w:rPr>
                <w:rFonts w:ascii="宋体" w:hAnsi="宋体" w:hint="eastAsia"/>
                <w:sz w:val="13"/>
                <w:szCs w:val="13"/>
              </w:rPr>
              <w:t>借方余额：清理完毕前的清理净支出</w:t>
            </w:r>
          </w:p>
        </w:tc>
        <w:tc>
          <w:tcPr>
            <w:tcW w:w="4713" w:type="dxa"/>
          </w:tcPr>
          <w:p w:rsidR="000975E7" w:rsidRPr="00ED02A4" w:rsidRDefault="00ED02A4" w:rsidP="003A4BB5">
            <w:pPr>
              <w:rPr>
                <w:rFonts w:ascii="宋体" w:hAnsi="宋体" w:hint="eastAsia"/>
                <w:sz w:val="13"/>
                <w:szCs w:val="13"/>
              </w:rPr>
            </w:pPr>
            <w:r w:rsidRPr="00ED02A4">
              <w:rPr>
                <w:rFonts w:ascii="宋体" w:hAnsi="宋体" w:hint="eastAsia"/>
                <w:sz w:val="13"/>
                <w:szCs w:val="13"/>
              </w:rPr>
              <w:t>贷方余额：清理完毕前的清理净收入</w:t>
            </w:r>
          </w:p>
        </w:tc>
      </w:tr>
      <w:tr w:rsidR="000975E7" w:rsidTr="00ED02A4">
        <w:trPr>
          <w:trHeight w:val="287"/>
        </w:trPr>
        <w:tc>
          <w:tcPr>
            <w:tcW w:w="2108" w:type="dxa"/>
            <w:vMerge w:val="restart"/>
            <w:vAlign w:val="center"/>
          </w:tcPr>
          <w:p w:rsidR="000975E7" w:rsidRPr="001C0F04" w:rsidRDefault="00ED02A4" w:rsidP="003A4BB5">
            <w:pPr>
              <w:jc w:val="center"/>
              <w:rPr>
                <w:szCs w:val="21"/>
              </w:rPr>
            </w:pPr>
            <w:r w:rsidRPr="001C0F04">
              <w:rPr>
                <w:rFonts w:ascii="宋体" w:hAnsi="宋体" w:hint="eastAsia"/>
                <w:szCs w:val="21"/>
              </w:rPr>
              <w:t>在建工程</w:t>
            </w:r>
          </w:p>
        </w:tc>
        <w:tc>
          <w:tcPr>
            <w:tcW w:w="9134" w:type="dxa"/>
            <w:gridSpan w:val="2"/>
          </w:tcPr>
          <w:p w:rsidR="000975E7" w:rsidRPr="00ED02A4" w:rsidRDefault="00ED02A4" w:rsidP="003A4BB5">
            <w:pPr>
              <w:rPr>
                <w:sz w:val="13"/>
                <w:szCs w:val="13"/>
              </w:rPr>
            </w:pPr>
            <w:r w:rsidRPr="00ED02A4">
              <w:rPr>
                <w:rFonts w:ascii="宋体" w:hAnsi="宋体" w:hint="eastAsia"/>
                <w:sz w:val="13"/>
                <w:szCs w:val="13"/>
              </w:rPr>
              <w:t>核算企业基建、更新改造等在建工程发生的支出</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企业各项在建工程的实际支出</w:t>
            </w:r>
          </w:p>
        </w:tc>
        <w:tc>
          <w:tcPr>
            <w:tcW w:w="4713" w:type="dxa"/>
          </w:tcPr>
          <w:p w:rsidR="000975E7" w:rsidRPr="00ED02A4" w:rsidRDefault="00ED02A4" w:rsidP="003A4BB5">
            <w:pPr>
              <w:rPr>
                <w:sz w:val="13"/>
                <w:szCs w:val="13"/>
              </w:rPr>
            </w:pPr>
            <w:r w:rsidRPr="00ED02A4">
              <w:rPr>
                <w:rFonts w:ascii="宋体" w:hAnsi="宋体" w:hint="eastAsia"/>
                <w:sz w:val="13"/>
                <w:szCs w:val="13"/>
              </w:rPr>
              <w:t>完工工程转出的成本</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期末借方余额：反映企业尚未达到预定可使用状态的在建工程的成本</w:t>
            </w:r>
          </w:p>
        </w:tc>
        <w:tc>
          <w:tcPr>
            <w:tcW w:w="4713" w:type="dxa"/>
          </w:tcPr>
          <w:p w:rsidR="000975E7" w:rsidRPr="00ED02A4" w:rsidRDefault="000975E7" w:rsidP="003A4BB5">
            <w:pPr>
              <w:rPr>
                <w:sz w:val="13"/>
                <w:szCs w:val="13"/>
              </w:rPr>
            </w:pPr>
          </w:p>
        </w:tc>
      </w:tr>
      <w:tr w:rsidR="000975E7" w:rsidTr="00ED02A4">
        <w:trPr>
          <w:trHeight w:val="287"/>
        </w:trPr>
        <w:tc>
          <w:tcPr>
            <w:tcW w:w="2108" w:type="dxa"/>
            <w:vMerge w:val="restart"/>
            <w:vAlign w:val="center"/>
          </w:tcPr>
          <w:p w:rsidR="000975E7" w:rsidRPr="001C0F04" w:rsidRDefault="00ED02A4" w:rsidP="003A4BB5">
            <w:pPr>
              <w:jc w:val="center"/>
              <w:rPr>
                <w:szCs w:val="21"/>
              </w:rPr>
            </w:pPr>
            <w:r w:rsidRPr="001C0F04">
              <w:rPr>
                <w:rFonts w:ascii="宋体" w:hAnsi="宋体" w:hint="eastAsia"/>
                <w:szCs w:val="21"/>
              </w:rPr>
              <w:t>无形资产</w:t>
            </w:r>
          </w:p>
        </w:tc>
        <w:tc>
          <w:tcPr>
            <w:tcW w:w="9134" w:type="dxa"/>
            <w:gridSpan w:val="2"/>
          </w:tcPr>
          <w:p w:rsidR="000975E7" w:rsidRPr="00ED02A4" w:rsidRDefault="00ED02A4" w:rsidP="003A4BB5">
            <w:pPr>
              <w:rPr>
                <w:sz w:val="13"/>
                <w:szCs w:val="13"/>
              </w:rPr>
            </w:pPr>
            <w:r w:rsidRPr="00ED02A4">
              <w:rPr>
                <w:rFonts w:ascii="宋体" w:hAnsi="宋体" w:hint="eastAsia"/>
                <w:sz w:val="13"/>
                <w:szCs w:val="13"/>
              </w:rPr>
              <w:t>核算企业持有的无形资产成本，包括专利权、非专利技术、商标权、著作权、土地使用权等无形资产的增加、减少和结存情况</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取得的无形资产的实际成本</w:t>
            </w:r>
          </w:p>
        </w:tc>
        <w:tc>
          <w:tcPr>
            <w:tcW w:w="4713" w:type="dxa"/>
          </w:tcPr>
          <w:p w:rsidR="000975E7" w:rsidRPr="00ED02A4" w:rsidRDefault="00ED02A4" w:rsidP="003A4BB5">
            <w:pPr>
              <w:rPr>
                <w:sz w:val="13"/>
                <w:szCs w:val="13"/>
              </w:rPr>
            </w:pPr>
            <w:r w:rsidRPr="00ED02A4">
              <w:rPr>
                <w:rFonts w:ascii="宋体" w:hAnsi="宋体" w:hint="eastAsia"/>
                <w:sz w:val="13"/>
                <w:szCs w:val="13"/>
              </w:rPr>
              <w:t>转出的无形资产的账面余额</w:t>
            </w:r>
          </w:p>
        </w:tc>
      </w:tr>
      <w:tr w:rsidR="000975E7" w:rsidTr="00ED02A4">
        <w:trPr>
          <w:trHeight w:val="306"/>
        </w:trPr>
        <w:tc>
          <w:tcPr>
            <w:tcW w:w="2108" w:type="dxa"/>
            <w:vMerge/>
          </w:tcPr>
          <w:p w:rsidR="000975E7" w:rsidRPr="001C0F04" w:rsidRDefault="000975E7" w:rsidP="003A4BB5">
            <w:pPr>
              <w:rPr>
                <w:szCs w:val="21"/>
              </w:rPr>
            </w:pPr>
          </w:p>
        </w:tc>
        <w:tc>
          <w:tcPr>
            <w:tcW w:w="4421" w:type="dxa"/>
          </w:tcPr>
          <w:p w:rsidR="000975E7" w:rsidRPr="00ED02A4" w:rsidRDefault="00ED02A4" w:rsidP="003A4BB5">
            <w:pPr>
              <w:rPr>
                <w:sz w:val="13"/>
                <w:szCs w:val="13"/>
              </w:rPr>
            </w:pPr>
            <w:r w:rsidRPr="00ED02A4">
              <w:rPr>
                <w:rFonts w:ascii="宋体" w:hAnsi="宋体" w:hint="eastAsia"/>
                <w:sz w:val="13"/>
                <w:szCs w:val="13"/>
              </w:rPr>
              <w:t>期末借方余额：反映企业现有的无形资产的成本</w:t>
            </w:r>
          </w:p>
        </w:tc>
        <w:tc>
          <w:tcPr>
            <w:tcW w:w="4713" w:type="dxa"/>
          </w:tcPr>
          <w:p w:rsidR="000975E7" w:rsidRPr="00ED02A4" w:rsidRDefault="000975E7" w:rsidP="003A4BB5">
            <w:pPr>
              <w:rPr>
                <w:sz w:val="13"/>
                <w:szCs w:val="13"/>
              </w:rPr>
            </w:pPr>
          </w:p>
        </w:tc>
      </w:tr>
      <w:tr w:rsidR="000975E7" w:rsidTr="00ED02A4">
        <w:trPr>
          <w:trHeight w:val="287"/>
        </w:trPr>
        <w:tc>
          <w:tcPr>
            <w:tcW w:w="2108" w:type="dxa"/>
            <w:vMerge w:val="restart"/>
            <w:vAlign w:val="center"/>
          </w:tcPr>
          <w:p w:rsidR="000975E7" w:rsidRPr="001C0F04" w:rsidRDefault="00ED02A4" w:rsidP="003A4BB5">
            <w:pPr>
              <w:jc w:val="center"/>
              <w:rPr>
                <w:szCs w:val="21"/>
              </w:rPr>
            </w:pPr>
            <w:r w:rsidRPr="001C0F04">
              <w:rPr>
                <w:rFonts w:ascii="宋体" w:hAnsi="宋体" w:hint="eastAsia"/>
                <w:color w:val="4472C4" w:themeColor="accent1"/>
                <w:szCs w:val="21"/>
              </w:rPr>
              <w:t>累计摊销</w:t>
            </w:r>
          </w:p>
        </w:tc>
        <w:tc>
          <w:tcPr>
            <w:tcW w:w="9134" w:type="dxa"/>
            <w:gridSpan w:val="2"/>
          </w:tcPr>
          <w:p w:rsidR="000975E7" w:rsidRPr="00ED02A4" w:rsidRDefault="00ED02A4" w:rsidP="003A4BB5">
            <w:pPr>
              <w:rPr>
                <w:sz w:val="13"/>
                <w:szCs w:val="13"/>
              </w:rPr>
            </w:pPr>
            <w:r w:rsidRPr="00ED02A4">
              <w:rPr>
                <w:rFonts w:ascii="宋体" w:hAnsi="宋体" w:hint="eastAsia"/>
                <w:color w:val="4472C4" w:themeColor="accent1"/>
                <w:sz w:val="13"/>
                <w:szCs w:val="13"/>
              </w:rPr>
              <w:t>是无形资产的备抵账户</w:t>
            </w:r>
            <w:r w:rsidRPr="00ED02A4">
              <w:rPr>
                <w:rFonts w:ascii="宋体" w:hAnsi="宋体" w:hint="eastAsia"/>
                <w:sz w:val="13"/>
                <w:szCs w:val="13"/>
              </w:rPr>
              <w:t>，核算企业对使用寿命有限的无形资产计提的累计摊销</w:t>
            </w:r>
          </w:p>
        </w:tc>
      </w:tr>
      <w:tr w:rsidR="000975E7" w:rsidTr="00ED02A4">
        <w:trPr>
          <w:trHeight w:val="306"/>
        </w:trPr>
        <w:tc>
          <w:tcPr>
            <w:tcW w:w="2108" w:type="dxa"/>
            <w:vMerge/>
          </w:tcPr>
          <w:p w:rsidR="000975E7" w:rsidRDefault="000975E7" w:rsidP="003A4BB5"/>
        </w:tc>
        <w:tc>
          <w:tcPr>
            <w:tcW w:w="4421" w:type="dxa"/>
          </w:tcPr>
          <w:p w:rsidR="000975E7" w:rsidRPr="00ED02A4" w:rsidRDefault="00ED02A4" w:rsidP="003A4BB5">
            <w:pPr>
              <w:rPr>
                <w:sz w:val="13"/>
                <w:szCs w:val="13"/>
              </w:rPr>
            </w:pPr>
            <w:r w:rsidRPr="00ED02A4">
              <w:rPr>
                <w:rFonts w:ascii="宋体" w:hAnsi="宋体" w:hint="eastAsia"/>
                <w:sz w:val="13"/>
                <w:szCs w:val="13"/>
              </w:rPr>
              <w:t>处置无形资产转出的累计摊销</w:t>
            </w:r>
          </w:p>
        </w:tc>
        <w:tc>
          <w:tcPr>
            <w:tcW w:w="4713" w:type="dxa"/>
          </w:tcPr>
          <w:p w:rsidR="000975E7" w:rsidRPr="00ED02A4" w:rsidRDefault="00ED02A4" w:rsidP="003A4BB5">
            <w:pPr>
              <w:rPr>
                <w:sz w:val="13"/>
                <w:szCs w:val="13"/>
              </w:rPr>
            </w:pPr>
            <w:r w:rsidRPr="00ED02A4">
              <w:rPr>
                <w:rFonts w:ascii="宋体" w:hAnsi="宋体" w:hint="eastAsia"/>
                <w:sz w:val="13"/>
                <w:szCs w:val="13"/>
              </w:rPr>
              <w:t>无形资产累计摊销增加数</w:t>
            </w:r>
            <w:r w:rsidRPr="00ED02A4">
              <w:rPr>
                <w:rFonts w:ascii="宋体" w:hAnsi="宋体" w:hint="eastAsia"/>
                <w:sz w:val="13"/>
                <w:szCs w:val="13"/>
              </w:rPr>
              <w:t>(</w:t>
            </w:r>
            <w:r w:rsidRPr="00ED02A4">
              <w:rPr>
                <w:rFonts w:ascii="宋体" w:hAnsi="宋体" w:hint="eastAsia"/>
                <w:sz w:val="13"/>
                <w:szCs w:val="13"/>
              </w:rPr>
              <w:t>即无形资产价值减少</w:t>
            </w:r>
            <w:r w:rsidRPr="00ED02A4">
              <w:rPr>
                <w:rFonts w:ascii="宋体" w:hAnsi="宋体" w:hint="eastAsia"/>
                <w:sz w:val="13"/>
                <w:szCs w:val="13"/>
              </w:rPr>
              <w:t>)</w:t>
            </w:r>
          </w:p>
        </w:tc>
      </w:tr>
      <w:tr w:rsidR="000975E7" w:rsidTr="00ED02A4">
        <w:trPr>
          <w:trHeight w:val="306"/>
        </w:trPr>
        <w:tc>
          <w:tcPr>
            <w:tcW w:w="2108" w:type="dxa"/>
            <w:vMerge/>
          </w:tcPr>
          <w:p w:rsidR="000975E7" w:rsidRDefault="000975E7" w:rsidP="003A4BB5"/>
        </w:tc>
        <w:tc>
          <w:tcPr>
            <w:tcW w:w="4421" w:type="dxa"/>
          </w:tcPr>
          <w:p w:rsidR="000975E7" w:rsidRDefault="000975E7" w:rsidP="003A4BB5"/>
        </w:tc>
        <w:tc>
          <w:tcPr>
            <w:tcW w:w="4713" w:type="dxa"/>
          </w:tcPr>
          <w:p w:rsidR="000975E7" w:rsidRPr="00ED02A4" w:rsidRDefault="00ED02A4" w:rsidP="003A4BB5">
            <w:pPr>
              <w:rPr>
                <w:sz w:val="13"/>
                <w:szCs w:val="13"/>
              </w:rPr>
            </w:pPr>
            <w:r w:rsidRPr="00ED02A4">
              <w:rPr>
                <w:rFonts w:ascii="宋体" w:hAnsi="宋体" w:hint="eastAsia"/>
                <w:color w:val="4472C4" w:themeColor="accent1"/>
                <w:sz w:val="13"/>
                <w:szCs w:val="13"/>
              </w:rPr>
              <w:t>期末贷方余额：反映企业现有无形资产的摊销的累计数</w:t>
            </w:r>
          </w:p>
        </w:tc>
      </w:tr>
    </w:tbl>
    <w:p w:rsidR="000975E7" w:rsidRPr="000975E7" w:rsidRDefault="000975E7" w:rsidP="001419C2">
      <w:pPr>
        <w:rPr>
          <w:rFonts w:cs="Times New Roman (正文 CS 字体)" w:hint="eastAsia"/>
          <w:vanish/>
        </w:rPr>
      </w:pPr>
    </w:p>
    <w:sectPr w:rsidR="000975E7" w:rsidRPr="000975E7" w:rsidSect="000975E7">
      <w:pgSz w:w="11900" w:h="16840"/>
      <w:pgMar w:top="357" w:right="357" w:bottom="816" w:left="35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E1"/>
    <w:rsid w:val="000975E7"/>
    <w:rsid w:val="001419C2"/>
    <w:rsid w:val="001C0F04"/>
    <w:rsid w:val="00267615"/>
    <w:rsid w:val="00352CFF"/>
    <w:rsid w:val="00494DE1"/>
    <w:rsid w:val="00692DB8"/>
    <w:rsid w:val="008111C4"/>
    <w:rsid w:val="008129FB"/>
    <w:rsid w:val="00D722D0"/>
    <w:rsid w:val="00ED02A4"/>
    <w:rsid w:val="00F46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1FD6"/>
  <w15:chartTrackingRefBased/>
  <w15:docId w15:val="{CA88AB86-962C-0649-8CAC-1E27516F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94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811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6D709-FDAA-354F-9019-32AB81D3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2019-08-28T02:58:00Z</dcterms:created>
  <dcterms:modified xsi:type="dcterms:W3CDTF">2019-08-28T10:10:00Z</dcterms:modified>
</cp:coreProperties>
</file>