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E979" w14:textId="3FCF8E38" w:rsidR="00402107" w:rsidRDefault="003638A0" w:rsidP="003638A0">
      <w:pPr>
        <w:pStyle w:val="Title"/>
      </w:pPr>
      <w:r>
        <w:t>COMP</w:t>
      </w:r>
      <w:r w:rsidR="00E62D0F">
        <w:t>6015 -</w:t>
      </w:r>
      <w:r>
        <w:t xml:space="preserve"> </w:t>
      </w:r>
      <w:r w:rsidR="007D0B99">
        <w:t>File System Security</w:t>
      </w:r>
    </w:p>
    <w:p w14:paraId="788D60DA" w14:textId="62C97F08" w:rsidR="007D0B99" w:rsidRDefault="007D0B99" w:rsidP="007D0B99">
      <w:pPr>
        <w:contextualSpacing/>
      </w:pPr>
    </w:p>
    <w:p w14:paraId="671B4F37" w14:textId="3DB21DC3" w:rsidR="007D0B99" w:rsidRDefault="00A25CFC" w:rsidP="007D0B99">
      <w:pPr>
        <w:contextualSpacing/>
      </w:pPr>
      <w:r>
        <w:t>In this report I shall be explaining some of the core security features of the Windows 11 OS, as well as describe some of the core features of the newer Resilient File System (ReFS) that is being used as a substitute for the older New Technology File System (NTFS). I will also briefly cover some of the fundamental evolutionary changes between Windows 10 and 11</w:t>
      </w:r>
      <w:r w:rsidR="007F6DE3">
        <w:t xml:space="preserve"> and the reasoning behind them.</w:t>
      </w:r>
    </w:p>
    <w:p w14:paraId="752C9947" w14:textId="77777777" w:rsidR="000D6C0B" w:rsidRDefault="000D6C0B" w:rsidP="007D0B99">
      <w:pPr>
        <w:contextualSpacing/>
      </w:pPr>
    </w:p>
    <w:p w14:paraId="0891EF41" w14:textId="5E7E43A1" w:rsidR="000D6C0B" w:rsidRPr="000D6C0B" w:rsidRDefault="007F6DE3" w:rsidP="000D6C0B">
      <w:pPr>
        <w:pStyle w:val="Heading1"/>
        <w:contextualSpacing/>
      </w:pPr>
      <w:r>
        <w:t>What does an Operating System do?</w:t>
      </w:r>
    </w:p>
    <w:p w14:paraId="41B857EA" w14:textId="2CF57345" w:rsidR="007F6DE3" w:rsidRDefault="007F6DE3" w:rsidP="007F6DE3">
      <w:pPr>
        <w:contextualSpacing/>
      </w:pPr>
      <w:r>
        <w:t>An operating system is the core of a computer. It enables the user to interact with the hardware of the machine. Allows said hardware to perform the functions required of them</w:t>
      </w:r>
      <w:r w:rsidR="00526FBD">
        <w:t>, manages the general running of processes</w:t>
      </w:r>
      <w:r w:rsidR="006A0643">
        <w:t xml:space="preserve"> such as disk and memory access</w:t>
      </w:r>
      <w:r>
        <w:t xml:space="preserve"> </w:t>
      </w:r>
      <w:r w:rsidR="006A0643">
        <w:t xml:space="preserve">as well as provide a base layer of security to the whole. </w:t>
      </w:r>
    </w:p>
    <w:p w14:paraId="5F53FA9A" w14:textId="77777777" w:rsidR="000D6C0B" w:rsidRDefault="000D6C0B" w:rsidP="007F6DE3">
      <w:pPr>
        <w:contextualSpacing/>
      </w:pPr>
    </w:p>
    <w:p w14:paraId="6922AC38" w14:textId="2C828DD4" w:rsidR="006A0643" w:rsidRDefault="006A0643" w:rsidP="007F6DE3">
      <w:pPr>
        <w:contextualSpacing/>
      </w:pPr>
      <w:r>
        <w:t xml:space="preserve">At the lowest level of the OS is the Kernal which </w:t>
      </w:r>
      <w:r w:rsidR="008B0DE0">
        <w:t>itself is responsible for all the base line interactions the OS takes. Interacting with the hardware and the memory when called upon by various programs and routines</w:t>
      </w:r>
      <w:r w:rsidR="007C13E1">
        <w:t xml:space="preserve"> whether it be a command line requesting the contents of a directory, or a performing a set of boot instructions. Since the Kernal has access to the entire machine, it is also very vulnerable to attack, and that is where the rest of the OS comes into play.</w:t>
      </w:r>
    </w:p>
    <w:p w14:paraId="2787C067" w14:textId="77777777" w:rsidR="004B04F7" w:rsidRDefault="004B04F7" w:rsidP="007F6DE3">
      <w:pPr>
        <w:contextualSpacing/>
      </w:pPr>
    </w:p>
    <w:p w14:paraId="183369B0" w14:textId="37267C4C" w:rsidR="006A0643" w:rsidRDefault="008C3049" w:rsidP="006A0643">
      <w:pPr>
        <w:pStyle w:val="Heading1"/>
        <w:contextualSpacing/>
      </w:pPr>
      <w:r>
        <w:t>OS Security</w:t>
      </w:r>
    </w:p>
    <w:p w14:paraId="71E13A9A" w14:textId="3F888A51" w:rsidR="006A0643" w:rsidRDefault="006A0643" w:rsidP="000D6C0B">
      <w:pPr>
        <w:pStyle w:val="Heading2"/>
        <w:spacing w:before="0"/>
        <w:contextualSpacing/>
      </w:pPr>
      <w:r>
        <w:t>The Trusted Platform Module</w:t>
      </w:r>
    </w:p>
    <w:p w14:paraId="7A42293F" w14:textId="5840D758" w:rsidR="000D6C0B" w:rsidRDefault="000D6C0B" w:rsidP="006A0643">
      <w:pPr>
        <w:contextualSpacing/>
      </w:pPr>
      <w:r>
        <w:t>One of the core security features utilised by Windows i</w:t>
      </w:r>
      <w:r w:rsidR="00705C3D">
        <w:t>s the Trusted Platform Module (TPM)</w:t>
      </w:r>
      <w:r w:rsidR="00600625">
        <w:t>. This is especially the case in Windows 11 as TPM 2.0 chips are required</w:t>
      </w:r>
      <w:r w:rsidR="00D55986">
        <w:t xml:space="preserve"> on motherboards</w:t>
      </w:r>
      <w:r w:rsidR="00600625">
        <w:t xml:space="preserve"> to even run the OS as listed on Microsoft’s system requirements </w:t>
      </w:r>
      <w:sdt>
        <w:sdtPr>
          <w:id w:val="45798522"/>
          <w:citation/>
        </w:sdtPr>
        <w:sdtContent>
          <w:r w:rsidR="00600625">
            <w:fldChar w:fldCharType="begin"/>
          </w:r>
          <w:r w:rsidR="00600625">
            <w:instrText xml:space="preserve"> CITATION Mic23 \l 2057 </w:instrText>
          </w:r>
          <w:r w:rsidR="00600625">
            <w:fldChar w:fldCharType="separate"/>
          </w:r>
          <w:r w:rsidR="00DA4CA1" w:rsidRPr="00DA4CA1">
            <w:rPr>
              <w:noProof/>
            </w:rPr>
            <w:t>[1]</w:t>
          </w:r>
          <w:r w:rsidR="00600625">
            <w:fldChar w:fldCharType="end"/>
          </w:r>
        </w:sdtContent>
      </w:sdt>
      <w:r w:rsidR="00600625">
        <w:t xml:space="preserve">. </w:t>
      </w:r>
    </w:p>
    <w:p w14:paraId="697FCD0F" w14:textId="5DB49CE0" w:rsidR="006A0643" w:rsidRDefault="006A0643" w:rsidP="006A0643">
      <w:pPr>
        <w:contextualSpacing/>
      </w:pPr>
    </w:p>
    <w:p w14:paraId="74F324FF" w14:textId="46007F76" w:rsidR="00D55986" w:rsidRDefault="00D55986" w:rsidP="006A0643">
      <w:pPr>
        <w:contextualSpacing/>
      </w:pPr>
      <w:r>
        <w:t xml:space="preserve">Also stated on Microsoft’s documentation is what a TPM is and how it is utilised </w:t>
      </w:r>
      <w:sdt>
        <w:sdtPr>
          <w:id w:val="-1020389618"/>
          <w:citation/>
        </w:sdtPr>
        <w:sdtContent>
          <w:r>
            <w:fldChar w:fldCharType="begin"/>
          </w:r>
          <w:r w:rsidR="005C05D8">
            <w:instrText xml:space="preserve">CITATION Mic231 \l 2057 </w:instrText>
          </w:r>
          <w:r>
            <w:fldChar w:fldCharType="separate"/>
          </w:r>
          <w:r w:rsidR="00DA4CA1" w:rsidRPr="00DA4CA1">
            <w:rPr>
              <w:noProof/>
            </w:rPr>
            <w:t>[2]</w:t>
          </w:r>
          <w:r>
            <w:fldChar w:fldCharType="end"/>
          </w:r>
        </w:sdtContent>
      </w:sdt>
      <w:r>
        <w:t>.</w:t>
      </w:r>
      <w:r w:rsidR="005C05D8">
        <w:t xml:space="preserve"> It describes the “TPM’s as microchips designed to provide basic security-related functions, primarily involving encryption keys.” This device enables systems to create and encrypt keys in a way that can only be decoded by a TPM. This wrapping and binding of a key helps provide another layer of security by preventing the key from being read. </w:t>
      </w:r>
    </w:p>
    <w:p w14:paraId="7102EA94" w14:textId="17EE142C" w:rsidR="005C05D8" w:rsidRDefault="005C05D8" w:rsidP="006A0643">
      <w:pPr>
        <w:contextualSpacing/>
      </w:pPr>
    </w:p>
    <w:p w14:paraId="23889EBF" w14:textId="707E92E1" w:rsidR="005C05D8" w:rsidRDefault="005C05D8" w:rsidP="006A0643">
      <w:pPr>
        <w:contextualSpacing/>
      </w:pPr>
      <w:r>
        <w:t>Windows uses this</w:t>
      </w:r>
      <w:r w:rsidR="009133F8">
        <w:t xml:space="preserve"> as part of its Cryptographic API: Next Generation (CNG) to provide additional layers of security beyond what software-only CNG providers are able. The two primary features, as shown in the documentation </w:t>
      </w:r>
      <w:sdt>
        <w:sdtPr>
          <w:id w:val="1173687531"/>
          <w:citation/>
        </w:sdtPr>
        <w:sdtContent>
          <w:r w:rsidR="009133F8">
            <w:fldChar w:fldCharType="begin"/>
          </w:r>
          <w:r w:rsidR="009133F8">
            <w:instrText xml:space="preserve"> CITATION Mic232 \l 2057 </w:instrText>
          </w:r>
          <w:r w:rsidR="009133F8">
            <w:fldChar w:fldCharType="separate"/>
          </w:r>
          <w:r w:rsidR="00DA4CA1" w:rsidRPr="00DA4CA1">
            <w:rPr>
              <w:noProof/>
            </w:rPr>
            <w:t>[3]</w:t>
          </w:r>
          <w:r w:rsidR="009133F8">
            <w:fldChar w:fldCharType="end"/>
          </w:r>
        </w:sdtContent>
      </w:sdt>
      <w:r w:rsidR="009133F8">
        <w:t xml:space="preserve">, the TPM’s enable is the previously mentioned key protection as well as protection from dictionary attacks. These attacks involve a programme attempting to guess a PIN through a brute force method. The TPM can prevent this by returning an error upon reaching a specified number of attempts. </w:t>
      </w:r>
    </w:p>
    <w:p w14:paraId="6E9DB65E" w14:textId="336A34A7" w:rsidR="009133F8" w:rsidRDefault="009133F8" w:rsidP="006A0643">
      <w:pPr>
        <w:contextualSpacing/>
      </w:pPr>
    </w:p>
    <w:p w14:paraId="0C72B1EE" w14:textId="1DA79940" w:rsidR="009133F8" w:rsidRDefault="009133F8" w:rsidP="006A0643">
      <w:pPr>
        <w:contextualSpacing/>
      </w:pPr>
      <w:r>
        <w:t>These 2 features provide the core function of the Platform Crypto Provider first introduced in Windows 8, and as such, are able to provide a much higher level of security.</w:t>
      </w:r>
    </w:p>
    <w:p w14:paraId="0F396B00" w14:textId="49C351E5" w:rsidR="002C48A4" w:rsidRDefault="002C48A4">
      <w:pPr>
        <w:spacing w:before="0" w:after="160" w:line="259" w:lineRule="auto"/>
      </w:pPr>
      <w:r>
        <w:br w:type="page"/>
      </w:r>
    </w:p>
    <w:p w14:paraId="679CF925" w14:textId="0FD22A6A" w:rsidR="003603CF" w:rsidRDefault="003603CF" w:rsidP="003603CF">
      <w:pPr>
        <w:pStyle w:val="Heading2"/>
      </w:pPr>
      <w:r>
        <w:lastRenderedPageBreak/>
        <w:t>BitLocker</w:t>
      </w:r>
    </w:p>
    <w:p w14:paraId="76B9A4A8" w14:textId="1DED06B6" w:rsidR="002C48A4" w:rsidRDefault="002C48A4" w:rsidP="002C48A4">
      <w:r>
        <w:t xml:space="preserve">BitLocker Drive Encryption is another example use of the TPM chip and is used to address threats regarding data theft or exposure </w:t>
      </w:r>
      <w:r w:rsidR="00B71B62">
        <w:t>from lost, stolen, or disposed computers</w:t>
      </w:r>
      <w:r>
        <w:t xml:space="preserve"> </w:t>
      </w:r>
      <w:sdt>
        <w:sdtPr>
          <w:id w:val="1098529876"/>
          <w:citation/>
        </w:sdtPr>
        <w:sdtContent>
          <w:r>
            <w:fldChar w:fldCharType="begin"/>
          </w:r>
          <w:r>
            <w:instrText xml:space="preserve"> CITATION Mic232 \l 2057 </w:instrText>
          </w:r>
          <w:r>
            <w:fldChar w:fldCharType="separate"/>
          </w:r>
          <w:r w:rsidR="00DA4CA1" w:rsidRPr="00DA4CA1">
            <w:rPr>
              <w:noProof/>
            </w:rPr>
            <w:t>[3]</w:t>
          </w:r>
          <w:r>
            <w:fldChar w:fldCharType="end"/>
          </w:r>
        </w:sdtContent>
      </w:sdt>
      <w:r>
        <w:t>.</w:t>
      </w:r>
      <w:r w:rsidR="00B71B62">
        <w:t xml:space="preserve"> The chip </w:t>
      </w:r>
      <w:r w:rsidR="00E62402">
        <w:t>is not</w:t>
      </w:r>
      <w:r w:rsidR="00B71B62">
        <w:t xml:space="preserve"> required for BitLocker to be effective, but it makes the process much more streamlined. Without a TPM, a user would be required to use a USB or, from windows 8 onwards, a password however this doesn’t prevent all potential attacks.</w:t>
      </w:r>
    </w:p>
    <w:p w14:paraId="4424905E" w14:textId="1E3670F8" w:rsidR="002C48A4" w:rsidRPr="002C48A4" w:rsidRDefault="00B71B62" w:rsidP="002C48A4">
      <w:r>
        <w:t>Since, BitLocker has received constant updates with a notable one being the introduction of Direct Memory Access (DMA) Port protection. This involved blocking the DMA ports on startup as well as disabling any ports that are not</w:t>
      </w:r>
      <w:r w:rsidR="00DA4CA1">
        <w:t xml:space="preserve"> currently</w:t>
      </w:r>
      <w:r>
        <w:t xml:space="preserve"> being used</w:t>
      </w:r>
      <w:r w:rsidR="00DA4CA1">
        <w:t xml:space="preserve"> and even enabling devices using those ports to still function even if the port itself is disabled</w:t>
      </w:r>
      <w:r>
        <w:t xml:space="preserve">.  </w:t>
      </w:r>
      <w:r w:rsidR="00DA4CA1">
        <w:t xml:space="preserve">This feature was released in the Widows 10 version 1507 update </w:t>
      </w:r>
      <w:sdt>
        <w:sdtPr>
          <w:id w:val="-1182741139"/>
          <w:citation/>
        </w:sdtPr>
        <w:sdtContent>
          <w:r w:rsidR="00DA4CA1">
            <w:fldChar w:fldCharType="begin"/>
          </w:r>
          <w:r w:rsidR="00DA4CA1">
            <w:instrText xml:space="preserve"> CITATION Mic233 \l 2057 </w:instrText>
          </w:r>
          <w:r w:rsidR="00DA4CA1">
            <w:fldChar w:fldCharType="separate"/>
          </w:r>
          <w:r w:rsidR="00DA4CA1" w:rsidRPr="00DA4CA1">
            <w:rPr>
              <w:noProof/>
            </w:rPr>
            <w:t>[4]</w:t>
          </w:r>
          <w:r w:rsidR="00DA4CA1">
            <w:fldChar w:fldCharType="end"/>
          </w:r>
        </w:sdtContent>
      </w:sdt>
      <w:r w:rsidR="00DA4CA1">
        <w:t>.</w:t>
      </w:r>
    </w:p>
    <w:p w14:paraId="6C8FE90B" w14:textId="77777777" w:rsidR="003603CF" w:rsidRPr="003603CF" w:rsidRDefault="003603CF" w:rsidP="003603CF"/>
    <w:p w14:paraId="53172EBB" w14:textId="76E62098" w:rsidR="006A0643" w:rsidRDefault="006A0643" w:rsidP="006A0643">
      <w:pPr>
        <w:pStyle w:val="Heading2"/>
        <w:contextualSpacing/>
      </w:pPr>
      <w:r>
        <w:t>ReFS</w:t>
      </w:r>
    </w:p>
    <w:p w14:paraId="4DC11188" w14:textId="41439AC7" w:rsidR="006A0643" w:rsidRDefault="006A0643" w:rsidP="006A0643">
      <w:pPr>
        <w:contextualSpacing/>
      </w:pPr>
    </w:p>
    <w:p w14:paraId="5995A626" w14:textId="34C1A071" w:rsidR="006A0643" w:rsidRDefault="006A0643" w:rsidP="006A0643">
      <w:pPr>
        <w:pStyle w:val="Heading3"/>
        <w:contextualSpacing/>
      </w:pPr>
      <w:r>
        <w:t>Integrity</w:t>
      </w:r>
    </w:p>
    <w:p w14:paraId="0334D137" w14:textId="5A7B378A" w:rsidR="006A0643" w:rsidRDefault="006A0643" w:rsidP="006A0643">
      <w:pPr>
        <w:contextualSpacing/>
      </w:pPr>
    </w:p>
    <w:p w14:paraId="440E915C" w14:textId="23E800CD" w:rsidR="008C3049" w:rsidRDefault="008C3049" w:rsidP="008C3049">
      <w:pPr>
        <w:pStyle w:val="Heading3"/>
        <w:contextualSpacing/>
      </w:pPr>
      <w:r>
        <w:t>Block Cloning</w:t>
      </w:r>
    </w:p>
    <w:p w14:paraId="1673705F" w14:textId="65AAB351" w:rsidR="008C3049" w:rsidRDefault="008C3049" w:rsidP="008C3049">
      <w:pPr>
        <w:contextualSpacing/>
      </w:pPr>
    </w:p>
    <w:p w14:paraId="60AE1D37" w14:textId="77777777" w:rsidR="008C3049" w:rsidRPr="008C3049" w:rsidRDefault="008C3049" w:rsidP="008C3049">
      <w:pPr>
        <w:contextualSpacing/>
      </w:pPr>
    </w:p>
    <w:p w14:paraId="2A8C84DF" w14:textId="1AC3BFF7" w:rsidR="006A0643" w:rsidRDefault="006A0643" w:rsidP="006A0643">
      <w:pPr>
        <w:pStyle w:val="Heading3"/>
        <w:contextualSpacing/>
      </w:pPr>
      <w:r>
        <w:t>ReFS vs NTFS</w:t>
      </w:r>
    </w:p>
    <w:p w14:paraId="62A81F00" w14:textId="66BA2CA6" w:rsidR="008C3049" w:rsidRDefault="008C3049" w:rsidP="008C3049">
      <w:pPr>
        <w:contextualSpacing/>
      </w:pPr>
    </w:p>
    <w:p w14:paraId="0F4FBA7E" w14:textId="35FC6839" w:rsidR="008C3049" w:rsidRDefault="008C3049" w:rsidP="008C3049">
      <w:pPr>
        <w:pStyle w:val="Heading1"/>
        <w:contextualSpacing/>
      </w:pPr>
      <w:r>
        <w:t>How does MacOS compare?</w:t>
      </w:r>
    </w:p>
    <w:p w14:paraId="2F372428" w14:textId="7172D703" w:rsidR="008C3049" w:rsidRDefault="008C3049" w:rsidP="008C3049">
      <w:pPr>
        <w:contextualSpacing/>
      </w:pPr>
    </w:p>
    <w:p w14:paraId="5DAF8F0A" w14:textId="129BC1BF" w:rsidR="008C3049" w:rsidRDefault="008C3049" w:rsidP="008C3049">
      <w:pPr>
        <w:pStyle w:val="Heading1"/>
        <w:contextualSpacing/>
      </w:pPr>
      <w:r>
        <w:t>Developer Interactions</w:t>
      </w:r>
    </w:p>
    <w:p w14:paraId="7C6468D1" w14:textId="33160F1D" w:rsidR="008C3049" w:rsidRDefault="008C3049" w:rsidP="008C3049">
      <w:pPr>
        <w:contextualSpacing/>
      </w:pPr>
    </w:p>
    <w:p w14:paraId="704EA8AB" w14:textId="007D2EF9" w:rsidR="008C3049" w:rsidRDefault="008C3049" w:rsidP="008C3049">
      <w:pPr>
        <w:pStyle w:val="Heading1"/>
        <w:contextualSpacing/>
      </w:pPr>
      <w:r>
        <w:t>Conclusion</w:t>
      </w:r>
    </w:p>
    <w:p w14:paraId="5D7FA720" w14:textId="4A9222EF" w:rsidR="00DA4CA1" w:rsidRDefault="00DA4CA1">
      <w:pPr>
        <w:spacing w:before="0" w:after="160" w:line="259" w:lineRule="auto"/>
      </w:pPr>
      <w:r>
        <w:br w:type="page"/>
      </w:r>
    </w:p>
    <w:sdt>
      <w:sdtPr>
        <w:id w:val="133382942"/>
        <w:docPartObj>
          <w:docPartGallery w:val="Bibliographies"/>
          <w:docPartUnique/>
        </w:docPartObj>
      </w:sdtPr>
      <w:sdtEndPr>
        <w:rPr>
          <w:rFonts w:asciiTheme="minorHAnsi" w:eastAsiaTheme="minorHAnsi" w:hAnsiTheme="minorHAnsi" w:cstheme="minorBidi"/>
          <w:color w:val="auto"/>
          <w:sz w:val="22"/>
          <w:szCs w:val="22"/>
        </w:rPr>
      </w:sdtEndPr>
      <w:sdtContent>
        <w:p w14:paraId="2CD0BE97" w14:textId="656C39FF" w:rsidR="00600625" w:rsidRDefault="00600625">
          <w:pPr>
            <w:pStyle w:val="Heading1"/>
          </w:pPr>
          <w:r>
            <w:t>References</w:t>
          </w:r>
        </w:p>
        <w:sdt>
          <w:sdtPr>
            <w:id w:val="-573587230"/>
            <w:bibliography/>
          </w:sdtPr>
          <w:sdtContent>
            <w:p w14:paraId="26071CD5" w14:textId="77777777" w:rsidR="00DA4CA1" w:rsidRDefault="00600625" w:rsidP="004602D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DA4CA1" w14:paraId="5462C791" w14:textId="77777777">
                <w:trPr>
                  <w:divId w:val="1518082445"/>
                  <w:tblCellSpacing w:w="15" w:type="dxa"/>
                </w:trPr>
                <w:tc>
                  <w:tcPr>
                    <w:tcW w:w="50" w:type="pct"/>
                    <w:hideMark/>
                  </w:tcPr>
                  <w:p w14:paraId="5494EC02" w14:textId="175153C3" w:rsidR="00DA4CA1" w:rsidRDefault="00DA4CA1">
                    <w:pPr>
                      <w:pStyle w:val="Bibliography"/>
                      <w:rPr>
                        <w:noProof/>
                        <w:sz w:val="24"/>
                        <w:szCs w:val="24"/>
                      </w:rPr>
                    </w:pPr>
                    <w:r>
                      <w:rPr>
                        <w:noProof/>
                      </w:rPr>
                      <w:t xml:space="preserve">[1] </w:t>
                    </w:r>
                  </w:p>
                </w:tc>
                <w:tc>
                  <w:tcPr>
                    <w:tcW w:w="0" w:type="auto"/>
                    <w:hideMark/>
                  </w:tcPr>
                  <w:p w14:paraId="702EF465" w14:textId="77777777" w:rsidR="00DA4CA1" w:rsidRDefault="00DA4CA1">
                    <w:pPr>
                      <w:pStyle w:val="Bibliography"/>
                      <w:rPr>
                        <w:noProof/>
                      </w:rPr>
                    </w:pPr>
                    <w:r>
                      <w:rPr>
                        <w:noProof/>
                      </w:rPr>
                      <w:t>Microsoft Corporation, “Windows 11 Specs and System Requirements | Microsoft,” 2023. [Online]. Available: https://www.microsoft.com/en-us/windows/windows-11-specifications. [Accessed 10 March 2023].</w:t>
                    </w:r>
                  </w:p>
                </w:tc>
              </w:tr>
              <w:tr w:rsidR="00DA4CA1" w14:paraId="6FEBD80C" w14:textId="77777777">
                <w:trPr>
                  <w:divId w:val="1518082445"/>
                  <w:tblCellSpacing w:w="15" w:type="dxa"/>
                </w:trPr>
                <w:tc>
                  <w:tcPr>
                    <w:tcW w:w="50" w:type="pct"/>
                    <w:hideMark/>
                  </w:tcPr>
                  <w:p w14:paraId="6C8EEFB2" w14:textId="77777777" w:rsidR="00DA4CA1" w:rsidRDefault="00DA4CA1">
                    <w:pPr>
                      <w:pStyle w:val="Bibliography"/>
                      <w:rPr>
                        <w:noProof/>
                      </w:rPr>
                    </w:pPr>
                    <w:r>
                      <w:rPr>
                        <w:noProof/>
                      </w:rPr>
                      <w:t xml:space="preserve">[2] </w:t>
                    </w:r>
                  </w:p>
                </w:tc>
                <w:tc>
                  <w:tcPr>
                    <w:tcW w:w="0" w:type="auto"/>
                    <w:hideMark/>
                  </w:tcPr>
                  <w:p w14:paraId="428E80B1" w14:textId="77777777" w:rsidR="00DA4CA1" w:rsidRDefault="00DA4CA1">
                    <w:pPr>
                      <w:pStyle w:val="Bibliography"/>
                      <w:rPr>
                        <w:noProof/>
                      </w:rPr>
                    </w:pPr>
                    <w:r>
                      <w:rPr>
                        <w:noProof/>
                      </w:rPr>
                      <w:t>Microsoft Corporation, “Trusted Platform Module (TPM) fundamentals,” 09 March 2023. [Online]. Available: https://learn.microsoft.com/en-us/windows/security/information-protection/tpm/tpm-fundamentals. [Accessed 15 March 2023].</w:t>
                    </w:r>
                  </w:p>
                </w:tc>
              </w:tr>
              <w:tr w:rsidR="00DA4CA1" w14:paraId="5664A625" w14:textId="77777777">
                <w:trPr>
                  <w:divId w:val="1518082445"/>
                  <w:tblCellSpacing w:w="15" w:type="dxa"/>
                </w:trPr>
                <w:tc>
                  <w:tcPr>
                    <w:tcW w:w="50" w:type="pct"/>
                    <w:hideMark/>
                  </w:tcPr>
                  <w:p w14:paraId="45CC24B8" w14:textId="77777777" w:rsidR="00DA4CA1" w:rsidRDefault="00DA4CA1">
                    <w:pPr>
                      <w:pStyle w:val="Bibliography"/>
                      <w:rPr>
                        <w:noProof/>
                      </w:rPr>
                    </w:pPr>
                    <w:r>
                      <w:rPr>
                        <w:noProof/>
                      </w:rPr>
                      <w:t xml:space="preserve">[3] </w:t>
                    </w:r>
                  </w:p>
                </w:tc>
                <w:tc>
                  <w:tcPr>
                    <w:tcW w:w="0" w:type="auto"/>
                    <w:hideMark/>
                  </w:tcPr>
                  <w:p w14:paraId="43A97119" w14:textId="77777777" w:rsidR="00DA4CA1" w:rsidRDefault="00DA4CA1">
                    <w:pPr>
                      <w:pStyle w:val="Bibliography"/>
                      <w:rPr>
                        <w:noProof/>
                      </w:rPr>
                    </w:pPr>
                    <w:r>
                      <w:rPr>
                        <w:noProof/>
                      </w:rPr>
                      <w:t>Microsoft Corporation, “How Windows uses the TPM,” 27 Feburary 2023. [Online]. Available: https://learn.microsoft.com/en-us/windows/security/information-protection/tpm/how-windows-uses-the-tpm?source=recommendations. [Accessed 15 March 2023].</w:t>
                    </w:r>
                  </w:p>
                </w:tc>
              </w:tr>
              <w:tr w:rsidR="00DA4CA1" w14:paraId="032DC9D2" w14:textId="77777777">
                <w:trPr>
                  <w:divId w:val="1518082445"/>
                  <w:tblCellSpacing w:w="15" w:type="dxa"/>
                </w:trPr>
                <w:tc>
                  <w:tcPr>
                    <w:tcW w:w="50" w:type="pct"/>
                    <w:hideMark/>
                  </w:tcPr>
                  <w:p w14:paraId="6E46C004" w14:textId="77777777" w:rsidR="00DA4CA1" w:rsidRDefault="00DA4CA1">
                    <w:pPr>
                      <w:pStyle w:val="Bibliography"/>
                      <w:rPr>
                        <w:noProof/>
                      </w:rPr>
                    </w:pPr>
                    <w:r>
                      <w:rPr>
                        <w:noProof/>
                      </w:rPr>
                      <w:t xml:space="preserve">[4] </w:t>
                    </w:r>
                  </w:p>
                </w:tc>
                <w:tc>
                  <w:tcPr>
                    <w:tcW w:w="0" w:type="auto"/>
                    <w:hideMark/>
                  </w:tcPr>
                  <w:p w14:paraId="2B414CD8" w14:textId="77777777" w:rsidR="00DA4CA1" w:rsidRDefault="00DA4CA1">
                    <w:pPr>
                      <w:pStyle w:val="Bibliography"/>
                      <w:rPr>
                        <w:noProof/>
                      </w:rPr>
                    </w:pPr>
                    <w:r>
                      <w:rPr>
                        <w:noProof/>
                      </w:rPr>
                      <w:t>Microsoft Corporation, “What's new in Windows 10, versions 1507 and 1511 (Windows 10) - What's new in Windows,” 27 Feburary 2023. [Online]. Available: https://learn.microsoft.com/en-us/windows/whats-new/whats-new-windows-10-version-1507-and-1511#bitlocker. [Accessed 16 March 2023].</w:t>
                    </w:r>
                  </w:p>
                </w:tc>
              </w:tr>
            </w:tbl>
            <w:p w14:paraId="0EA43E7B" w14:textId="77777777" w:rsidR="00DA4CA1" w:rsidRDefault="00DA4CA1">
              <w:pPr>
                <w:divId w:val="1518082445"/>
                <w:rPr>
                  <w:rFonts w:eastAsia="Times New Roman"/>
                  <w:noProof/>
                </w:rPr>
              </w:pPr>
            </w:p>
            <w:p w14:paraId="5F2C6379" w14:textId="52997D64" w:rsidR="00600625" w:rsidRDefault="00600625" w:rsidP="004602D4">
              <w:r>
                <w:rPr>
                  <w:b/>
                  <w:bCs/>
                  <w:noProof/>
                </w:rPr>
                <w:fldChar w:fldCharType="end"/>
              </w:r>
            </w:p>
          </w:sdtContent>
        </w:sdt>
      </w:sdtContent>
    </w:sdt>
    <w:p w14:paraId="50AA356F" w14:textId="77777777" w:rsidR="00600625" w:rsidRPr="00600625" w:rsidRDefault="00600625" w:rsidP="00600625"/>
    <w:sectPr w:rsidR="00600625" w:rsidRPr="00600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A0"/>
    <w:rsid w:val="000D6C0B"/>
    <w:rsid w:val="002C48A4"/>
    <w:rsid w:val="003603CF"/>
    <w:rsid w:val="003638A0"/>
    <w:rsid w:val="003F76AC"/>
    <w:rsid w:val="00402107"/>
    <w:rsid w:val="004602D4"/>
    <w:rsid w:val="004705BB"/>
    <w:rsid w:val="004B04F7"/>
    <w:rsid w:val="004D5E25"/>
    <w:rsid w:val="00526FBD"/>
    <w:rsid w:val="005C05D8"/>
    <w:rsid w:val="00600625"/>
    <w:rsid w:val="006A0643"/>
    <w:rsid w:val="00705C3D"/>
    <w:rsid w:val="007C13E1"/>
    <w:rsid w:val="007D0B99"/>
    <w:rsid w:val="007F6DE3"/>
    <w:rsid w:val="008B0DE0"/>
    <w:rsid w:val="008C3049"/>
    <w:rsid w:val="009133F8"/>
    <w:rsid w:val="00A25CFC"/>
    <w:rsid w:val="00B71B62"/>
    <w:rsid w:val="00D55986"/>
    <w:rsid w:val="00DA4CA1"/>
    <w:rsid w:val="00DB465C"/>
    <w:rsid w:val="00E62402"/>
    <w:rsid w:val="00E62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9227"/>
  <w15:chartTrackingRefBased/>
  <w15:docId w15:val="{0D0F6513-851A-496B-BEC5-A691B3A9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0B"/>
    <w:pPr>
      <w:spacing w:before="120" w:after="120" w:line="240" w:lineRule="auto"/>
    </w:pPr>
  </w:style>
  <w:style w:type="paragraph" w:styleId="Heading1">
    <w:name w:val="heading 1"/>
    <w:basedOn w:val="Normal"/>
    <w:next w:val="Normal"/>
    <w:link w:val="Heading1Char"/>
    <w:uiPriority w:val="9"/>
    <w:qFormat/>
    <w:rsid w:val="000D6C0B"/>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38A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8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06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64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0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835">
      <w:bodyDiv w:val="1"/>
      <w:marLeft w:val="0"/>
      <w:marRight w:val="0"/>
      <w:marTop w:val="0"/>
      <w:marBottom w:val="0"/>
      <w:divBdr>
        <w:top w:val="none" w:sz="0" w:space="0" w:color="auto"/>
        <w:left w:val="none" w:sz="0" w:space="0" w:color="auto"/>
        <w:bottom w:val="none" w:sz="0" w:space="0" w:color="auto"/>
        <w:right w:val="none" w:sz="0" w:space="0" w:color="auto"/>
      </w:divBdr>
    </w:div>
    <w:div w:id="73823897">
      <w:bodyDiv w:val="1"/>
      <w:marLeft w:val="0"/>
      <w:marRight w:val="0"/>
      <w:marTop w:val="0"/>
      <w:marBottom w:val="0"/>
      <w:divBdr>
        <w:top w:val="none" w:sz="0" w:space="0" w:color="auto"/>
        <w:left w:val="none" w:sz="0" w:space="0" w:color="auto"/>
        <w:bottom w:val="none" w:sz="0" w:space="0" w:color="auto"/>
        <w:right w:val="none" w:sz="0" w:space="0" w:color="auto"/>
      </w:divBdr>
    </w:div>
    <w:div w:id="168328802">
      <w:bodyDiv w:val="1"/>
      <w:marLeft w:val="0"/>
      <w:marRight w:val="0"/>
      <w:marTop w:val="0"/>
      <w:marBottom w:val="0"/>
      <w:divBdr>
        <w:top w:val="none" w:sz="0" w:space="0" w:color="auto"/>
        <w:left w:val="none" w:sz="0" w:space="0" w:color="auto"/>
        <w:bottom w:val="none" w:sz="0" w:space="0" w:color="auto"/>
        <w:right w:val="none" w:sz="0" w:space="0" w:color="auto"/>
      </w:divBdr>
    </w:div>
    <w:div w:id="338774652">
      <w:bodyDiv w:val="1"/>
      <w:marLeft w:val="0"/>
      <w:marRight w:val="0"/>
      <w:marTop w:val="0"/>
      <w:marBottom w:val="0"/>
      <w:divBdr>
        <w:top w:val="none" w:sz="0" w:space="0" w:color="auto"/>
        <w:left w:val="none" w:sz="0" w:space="0" w:color="auto"/>
        <w:bottom w:val="none" w:sz="0" w:space="0" w:color="auto"/>
        <w:right w:val="none" w:sz="0" w:space="0" w:color="auto"/>
      </w:divBdr>
    </w:div>
    <w:div w:id="388116580">
      <w:bodyDiv w:val="1"/>
      <w:marLeft w:val="0"/>
      <w:marRight w:val="0"/>
      <w:marTop w:val="0"/>
      <w:marBottom w:val="0"/>
      <w:divBdr>
        <w:top w:val="none" w:sz="0" w:space="0" w:color="auto"/>
        <w:left w:val="none" w:sz="0" w:space="0" w:color="auto"/>
        <w:bottom w:val="none" w:sz="0" w:space="0" w:color="auto"/>
        <w:right w:val="none" w:sz="0" w:space="0" w:color="auto"/>
      </w:divBdr>
    </w:div>
    <w:div w:id="392850722">
      <w:bodyDiv w:val="1"/>
      <w:marLeft w:val="0"/>
      <w:marRight w:val="0"/>
      <w:marTop w:val="0"/>
      <w:marBottom w:val="0"/>
      <w:divBdr>
        <w:top w:val="none" w:sz="0" w:space="0" w:color="auto"/>
        <w:left w:val="none" w:sz="0" w:space="0" w:color="auto"/>
        <w:bottom w:val="none" w:sz="0" w:space="0" w:color="auto"/>
        <w:right w:val="none" w:sz="0" w:space="0" w:color="auto"/>
      </w:divBdr>
    </w:div>
    <w:div w:id="396324727">
      <w:bodyDiv w:val="1"/>
      <w:marLeft w:val="0"/>
      <w:marRight w:val="0"/>
      <w:marTop w:val="0"/>
      <w:marBottom w:val="0"/>
      <w:divBdr>
        <w:top w:val="none" w:sz="0" w:space="0" w:color="auto"/>
        <w:left w:val="none" w:sz="0" w:space="0" w:color="auto"/>
        <w:bottom w:val="none" w:sz="0" w:space="0" w:color="auto"/>
        <w:right w:val="none" w:sz="0" w:space="0" w:color="auto"/>
      </w:divBdr>
    </w:div>
    <w:div w:id="634414375">
      <w:bodyDiv w:val="1"/>
      <w:marLeft w:val="0"/>
      <w:marRight w:val="0"/>
      <w:marTop w:val="0"/>
      <w:marBottom w:val="0"/>
      <w:divBdr>
        <w:top w:val="none" w:sz="0" w:space="0" w:color="auto"/>
        <w:left w:val="none" w:sz="0" w:space="0" w:color="auto"/>
        <w:bottom w:val="none" w:sz="0" w:space="0" w:color="auto"/>
        <w:right w:val="none" w:sz="0" w:space="0" w:color="auto"/>
      </w:divBdr>
    </w:div>
    <w:div w:id="653488074">
      <w:bodyDiv w:val="1"/>
      <w:marLeft w:val="0"/>
      <w:marRight w:val="0"/>
      <w:marTop w:val="0"/>
      <w:marBottom w:val="0"/>
      <w:divBdr>
        <w:top w:val="none" w:sz="0" w:space="0" w:color="auto"/>
        <w:left w:val="none" w:sz="0" w:space="0" w:color="auto"/>
        <w:bottom w:val="none" w:sz="0" w:space="0" w:color="auto"/>
        <w:right w:val="none" w:sz="0" w:space="0" w:color="auto"/>
      </w:divBdr>
    </w:div>
    <w:div w:id="660429999">
      <w:bodyDiv w:val="1"/>
      <w:marLeft w:val="0"/>
      <w:marRight w:val="0"/>
      <w:marTop w:val="0"/>
      <w:marBottom w:val="0"/>
      <w:divBdr>
        <w:top w:val="none" w:sz="0" w:space="0" w:color="auto"/>
        <w:left w:val="none" w:sz="0" w:space="0" w:color="auto"/>
        <w:bottom w:val="none" w:sz="0" w:space="0" w:color="auto"/>
        <w:right w:val="none" w:sz="0" w:space="0" w:color="auto"/>
      </w:divBdr>
    </w:div>
    <w:div w:id="668800479">
      <w:bodyDiv w:val="1"/>
      <w:marLeft w:val="0"/>
      <w:marRight w:val="0"/>
      <w:marTop w:val="0"/>
      <w:marBottom w:val="0"/>
      <w:divBdr>
        <w:top w:val="none" w:sz="0" w:space="0" w:color="auto"/>
        <w:left w:val="none" w:sz="0" w:space="0" w:color="auto"/>
        <w:bottom w:val="none" w:sz="0" w:space="0" w:color="auto"/>
        <w:right w:val="none" w:sz="0" w:space="0" w:color="auto"/>
      </w:divBdr>
    </w:div>
    <w:div w:id="695732972">
      <w:bodyDiv w:val="1"/>
      <w:marLeft w:val="0"/>
      <w:marRight w:val="0"/>
      <w:marTop w:val="0"/>
      <w:marBottom w:val="0"/>
      <w:divBdr>
        <w:top w:val="none" w:sz="0" w:space="0" w:color="auto"/>
        <w:left w:val="none" w:sz="0" w:space="0" w:color="auto"/>
        <w:bottom w:val="none" w:sz="0" w:space="0" w:color="auto"/>
        <w:right w:val="none" w:sz="0" w:space="0" w:color="auto"/>
      </w:divBdr>
    </w:div>
    <w:div w:id="759566362">
      <w:bodyDiv w:val="1"/>
      <w:marLeft w:val="0"/>
      <w:marRight w:val="0"/>
      <w:marTop w:val="0"/>
      <w:marBottom w:val="0"/>
      <w:divBdr>
        <w:top w:val="none" w:sz="0" w:space="0" w:color="auto"/>
        <w:left w:val="none" w:sz="0" w:space="0" w:color="auto"/>
        <w:bottom w:val="none" w:sz="0" w:space="0" w:color="auto"/>
        <w:right w:val="none" w:sz="0" w:space="0" w:color="auto"/>
      </w:divBdr>
    </w:div>
    <w:div w:id="801659029">
      <w:bodyDiv w:val="1"/>
      <w:marLeft w:val="0"/>
      <w:marRight w:val="0"/>
      <w:marTop w:val="0"/>
      <w:marBottom w:val="0"/>
      <w:divBdr>
        <w:top w:val="none" w:sz="0" w:space="0" w:color="auto"/>
        <w:left w:val="none" w:sz="0" w:space="0" w:color="auto"/>
        <w:bottom w:val="none" w:sz="0" w:space="0" w:color="auto"/>
        <w:right w:val="none" w:sz="0" w:space="0" w:color="auto"/>
      </w:divBdr>
    </w:div>
    <w:div w:id="845093062">
      <w:bodyDiv w:val="1"/>
      <w:marLeft w:val="0"/>
      <w:marRight w:val="0"/>
      <w:marTop w:val="0"/>
      <w:marBottom w:val="0"/>
      <w:divBdr>
        <w:top w:val="none" w:sz="0" w:space="0" w:color="auto"/>
        <w:left w:val="none" w:sz="0" w:space="0" w:color="auto"/>
        <w:bottom w:val="none" w:sz="0" w:space="0" w:color="auto"/>
        <w:right w:val="none" w:sz="0" w:space="0" w:color="auto"/>
      </w:divBdr>
    </w:div>
    <w:div w:id="854273071">
      <w:bodyDiv w:val="1"/>
      <w:marLeft w:val="0"/>
      <w:marRight w:val="0"/>
      <w:marTop w:val="0"/>
      <w:marBottom w:val="0"/>
      <w:divBdr>
        <w:top w:val="none" w:sz="0" w:space="0" w:color="auto"/>
        <w:left w:val="none" w:sz="0" w:space="0" w:color="auto"/>
        <w:bottom w:val="none" w:sz="0" w:space="0" w:color="auto"/>
        <w:right w:val="none" w:sz="0" w:space="0" w:color="auto"/>
      </w:divBdr>
    </w:div>
    <w:div w:id="879821592">
      <w:bodyDiv w:val="1"/>
      <w:marLeft w:val="0"/>
      <w:marRight w:val="0"/>
      <w:marTop w:val="0"/>
      <w:marBottom w:val="0"/>
      <w:divBdr>
        <w:top w:val="none" w:sz="0" w:space="0" w:color="auto"/>
        <w:left w:val="none" w:sz="0" w:space="0" w:color="auto"/>
        <w:bottom w:val="none" w:sz="0" w:space="0" w:color="auto"/>
        <w:right w:val="none" w:sz="0" w:space="0" w:color="auto"/>
      </w:divBdr>
    </w:div>
    <w:div w:id="897478333">
      <w:bodyDiv w:val="1"/>
      <w:marLeft w:val="0"/>
      <w:marRight w:val="0"/>
      <w:marTop w:val="0"/>
      <w:marBottom w:val="0"/>
      <w:divBdr>
        <w:top w:val="none" w:sz="0" w:space="0" w:color="auto"/>
        <w:left w:val="none" w:sz="0" w:space="0" w:color="auto"/>
        <w:bottom w:val="none" w:sz="0" w:space="0" w:color="auto"/>
        <w:right w:val="none" w:sz="0" w:space="0" w:color="auto"/>
      </w:divBdr>
    </w:div>
    <w:div w:id="912280673">
      <w:bodyDiv w:val="1"/>
      <w:marLeft w:val="0"/>
      <w:marRight w:val="0"/>
      <w:marTop w:val="0"/>
      <w:marBottom w:val="0"/>
      <w:divBdr>
        <w:top w:val="none" w:sz="0" w:space="0" w:color="auto"/>
        <w:left w:val="none" w:sz="0" w:space="0" w:color="auto"/>
        <w:bottom w:val="none" w:sz="0" w:space="0" w:color="auto"/>
        <w:right w:val="none" w:sz="0" w:space="0" w:color="auto"/>
      </w:divBdr>
    </w:div>
    <w:div w:id="921724584">
      <w:bodyDiv w:val="1"/>
      <w:marLeft w:val="0"/>
      <w:marRight w:val="0"/>
      <w:marTop w:val="0"/>
      <w:marBottom w:val="0"/>
      <w:divBdr>
        <w:top w:val="none" w:sz="0" w:space="0" w:color="auto"/>
        <w:left w:val="none" w:sz="0" w:space="0" w:color="auto"/>
        <w:bottom w:val="none" w:sz="0" w:space="0" w:color="auto"/>
        <w:right w:val="none" w:sz="0" w:space="0" w:color="auto"/>
      </w:divBdr>
    </w:div>
    <w:div w:id="932670784">
      <w:bodyDiv w:val="1"/>
      <w:marLeft w:val="0"/>
      <w:marRight w:val="0"/>
      <w:marTop w:val="0"/>
      <w:marBottom w:val="0"/>
      <w:divBdr>
        <w:top w:val="none" w:sz="0" w:space="0" w:color="auto"/>
        <w:left w:val="none" w:sz="0" w:space="0" w:color="auto"/>
        <w:bottom w:val="none" w:sz="0" w:space="0" w:color="auto"/>
        <w:right w:val="none" w:sz="0" w:space="0" w:color="auto"/>
      </w:divBdr>
    </w:div>
    <w:div w:id="98508524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892948">
      <w:bodyDiv w:val="1"/>
      <w:marLeft w:val="0"/>
      <w:marRight w:val="0"/>
      <w:marTop w:val="0"/>
      <w:marBottom w:val="0"/>
      <w:divBdr>
        <w:top w:val="none" w:sz="0" w:space="0" w:color="auto"/>
        <w:left w:val="none" w:sz="0" w:space="0" w:color="auto"/>
        <w:bottom w:val="none" w:sz="0" w:space="0" w:color="auto"/>
        <w:right w:val="none" w:sz="0" w:space="0" w:color="auto"/>
      </w:divBdr>
    </w:div>
    <w:div w:id="1154834637">
      <w:bodyDiv w:val="1"/>
      <w:marLeft w:val="0"/>
      <w:marRight w:val="0"/>
      <w:marTop w:val="0"/>
      <w:marBottom w:val="0"/>
      <w:divBdr>
        <w:top w:val="none" w:sz="0" w:space="0" w:color="auto"/>
        <w:left w:val="none" w:sz="0" w:space="0" w:color="auto"/>
        <w:bottom w:val="none" w:sz="0" w:space="0" w:color="auto"/>
        <w:right w:val="none" w:sz="0" w:space="0" w:color="auto"/>
      </w:divBdr>
    </w:div>
    <w:div w:id="1156606545">
      <w:bodyDiv w:val="1"/>
      <w:marLeft w:val="0"/>
      <w:marRight w:val="0"/>
      <w:marTop w:val="0"/>
      <w:marBottom w:val="0"/>
      <w:divBdr>
        <w:top w:val="none" w:sz="0" w:space="0" w:color="auto"/>
        <w:left w:val="none" w:sz="0" w:space="0" w:color="auto"/>
        <w:bottom w:val="none" w:sz="0" w:space="0" w:color="auto"/>
        <w:right w:val="none" w:sz="0" w:space="0" w:color="auto"/>
      </w:divBdr>
    </w:div>
    <w:div w:id="1163009090">
      <w:bodyDiv w:val="1"/>
      <w:marLeft w:val="0"/>
      <w:marRight w:val="0"/>
      <w:marTop w:val="0"/>
      <w:marBottom w:val="0"/>
      <w:divBdr>
        <w:top w:val="none" w:sz="0" w:space="0" w:color="auto"/>
        <w:left w:val="none" w:sz="0" w:space="0" w:color="auto"/>
        <w:bottom w:val="none" w:sz="0" w:space="0" w:color="auto"/>
        <w:right w:val="none" w:sz="0" w:space="0" w:color="auto"/>
      </w:divBdr>
    </w:div>
    <w:div w:id="1250694399">
      <w:bodyDiv w:val="1"/>
      <w:marLeft w:val="0"/>
      <w:marRight w:val="0"/>
      <w:marTop w:val="0"/>
      <w:marBottom w:val="0"/>
      <w:divBdr>
        <w:top w:val="none" w:sz="0" w:space="0" w:color="auto"/>
        <w:left w:val="none" w:sz="0" w:space="0" w:color="auto"/>
        <w:bottom w:val="none" w:sz="0" w:space="0" w:color="auto"/>
        <w:right w:val="none" w:sz="0" w:space="0" w:color="auto"/>
      </w:divBdr>
    </w:div>
    <w:div w:id="1481657690">
      <w:bodyDiv w:val="1"/>
      <w:marLeft w:val="0"/>
      <w:marRight w:val="0"/>
      <w:marTop w:val="0"/>
      <w:marBottom w:val="0"/>
      <w:divBdr>
        <w:top w:val="none" w:sz="0" w:space="0" w:color="auto"/>
        <w:left w:val="none" w:sz="0" w:space="0" w:color="auto"/>
        <w:bottom w:val="none" w:sz="0" w:space="0" w:color="auto"/>
        <w:right w:val="none" w:sz="0" w:space="0" w:color="auto"/>
      </w:divBdr>
    </w:div>
    <w:div w:id="1518082445">
      <w:bodyDiv w:val="1"/>
      <w:marLeft w:val="0"/>
      <w:marRight w:val="0"/>
      <w:marTop w:val="0"/>
      <w:marBottom w:val="0"/>
      <w:divBdr>
        <w:top w:val="none" w:sz="0" w:space="0" w:color="auto"/>
        <w:left w:val="none" w:sz="0" w:space="0" w:color="auto"/>
        <w:bottom w:val="none" w:sz="0" w:space="0" w:color="auto"/>
        <w:right w:val="none" w:sz="0" w:space="0" w:color="auto"/>
      </w:divBdr>
    </w:div>
    <w:div w:id="1546677328">
      <w:bodyDiv w:val="1"/>
      <w:marLeft w:val="0"/>
      <w:marRight w:val="0"/>
      <w:marTop w:val="0"/>
      <w:marBottom w:val="0"/>
      <w:divBdr>
        <w:top w:val="none" w:sz="0" w:space="0" w:color="auto"/>
        <w:left w:val="none" w:sz="0" w:space="0" w:color="auto"/>
        <w:bottom w:val="none" w:sz="0" w:space="0" w:color="auto"/>
        <w:right w:val="none" w:sz="0" w:space="0" w:color="auto"/>
      </w:divBdr>
    </w:div>
    <w:div w:id="1632978371">
      <w:bodyDiv w:val="1"/>
      <w:marLeft w:val="0"/>
      <w:marRight w:val="0"/>
      <w:marTop w:val="0"/>
      <w:marBottom w:val="0"/>
      <w:divBdr>
        <w:top w:val="none" w:sz="0" w:space="0" w:color="auto"/>
        <w:left w:val="none" w:sz="0" w:space="0" w:color="auto"/>
        <w:bottom w:val="none" w:sz="0" w:space="0" w:color="auto"/>
        <w:right w:val="none" w:sz="0" w:space="0" w:color="auto"/>
      </w:divBdr>
    </w:div>
    <w:div w:id="1639335173">
      <w:bodyDiv w:val="1"/>
      <w:marLeft w:val="0"/>
      <w:marRight w:val="0"/>
      <w:marTop w:val="0"/>
      <w:marBottom w:val="0"/>
      <w:divBdr>
        <w:top w:val="none" w:sz="0" w:space="0" w:color="auto"/>
        <w:left w:val="none" w:sz="0" w:space="0" w:color="auto"/>
        <w:bottom w:val="none" w:sz="0" w:space="0" w:color="auto"/>
        <w:right w:val="none" w:sz="0" w:space="0" w:color="auto"/>
      </w:divBdr>
    </w:div>
    <w:div w:id="1656299295">
      <w:bodyDiv w:val="1"/>
      <w:marLeft w:val="0"/>
      <w:marRight w:val="0"/>
      <w:marTop w:val="0"/>
      <w:marBottom w:val="0"/>
      <w:divBdr>
        <w:top w:val="none" w:sz="0" w:space="0" w:color="auto"/>
        <w:left w:val="none" w:sz="0" w:space="0" w:color="auto"/>
        <w:bottom w:val="none" w:sz="0" w:space="0" w:color="auto"/>
        <w:right w:val="none" w:sz="0" w:space="0" w:color="auto"/>
      </w:divBdr>
    </w:div>
    <w:div w:id="1657152595">
      <w:bodyDiv w:val="1"/>
      <w:marLeft w:val="0"/>
      <w:marRight w:val="0"/>
      <w:marTop w:val="0"/>
      <w:marBottom w:val="0"/>
      <w:divBdr>
        <w:top w:val="none" w:sz="0" w:space="0" w:color="auto"/>
        <w:left w:val="none" w:sz="0" w:space="0" w:color="auto"/>
        <w:bottom w:val="none" w:sz="0" w:space="0" w:color="auto"/>
        <w:right w:val="none" w:sz="0" w:space="0" w:color="auto"/>
      </w:divBdr>
    </w:div>
    <w:div w:id="1721897094">
      <w:bodyDiv w:val="1"/>
      <w:marLeft w:val="0"/>
      <w:marRight w:val="0"/>
      <w:marTop w:val="0"/>
      <w:marBottom w:val="0"/>
      <w:divBdr>
        <w:top w:val="none" w:sz="0" w:space="0" w:color="auto"/>
        <w:left w:val="none" w:sz="0" w:space="0" w:color="auto"/>
        <w:bottom w:val="none" w:sz="0" w:space="0" w:color="auto"/>
        <w:right w:val="none" w:sz="0" w:space="0" w:color="auto"/>
      </w:divBdr>
    </w:div>
    <w:div w:id="1751080466">
      <w:bodyDiv w:val="1"/>
      <w:marLeft w:val="0"/>
      <w:marRight w:val="0"/>
      <w:marTop w:val="0"/>
      <w:marBottom w:val="0"/>
      <w:divBdr>
        <w:top w:val="none" w:sz="0" w:space="0" w:color="auto"/>
        <w:left w:val="none" w:sz="0" w:space="0" w:color="auto"/>
        <w:bottom w:val="none" w:sz="0" w:space="0" w:color="auto"/>
        <w:right w:val="none" w:sz="0" w:space="0" w:color="auto"/>
      </w:divBdr>
    </w:div>
    <w:div w:id="1758475783">
      <w:bodyDiv w:val="1"/>
      <w:marLeft w:val="0"/>
      <w:marRight w:val="0"/>
      <w:marTop w:val="0"/>
      <w:marBottom w:val="0"/>
      <w:divBdr>
        <w:top w:val="none" w:sz="0" w:space="0" w:color="auto"/>
        <w:left w:val="none" w:sz="0" w:space="0" w:color="auto"/>
        <w:bottom w:val="none" w:sz="0" w:space="0" w:color="auto"/>
        <w:right w:val="none" w:sz="0" w:space="0" w:color="auto"/>
      </w:divBdr>
    </w:div>
    <w:div w:id="1890872910">
      <w:bodyDiv w:val="1"/>
      <w:marLeft w:val="0"/>
      <w:marRight w:val="0"/>
      <w:marTop w:val="0"/>
      <w:marBottom w:val="0"/>
      <w:divBdr>
        <w:top w:val="none" w:sz="0" w:space="0" w:color="auto"/>
        <w:left w:val="none" w:sz="0" w:space="0" w:color="auto"/>
        <w:bottom w:val="none" w:sz="0" w:space="0" w:color="auto"/>
        <w:right w:val="none" w:sz="0" w:space="0" w:color="auto"/>
      </w:divBdr>
    </w:div>
    <w:div w:id="1908958920">
      <w:bodyDiv w:val="1"/>
      <w:marLeft w:val="0"/>
      <w:marRight w:val="0"/>
      <w:marTop w:val="0"/>
      <w:marBottom w:val="0"/>
      <w:divBdr>
        <w:top w:val="none" w:sz="0" w:space="0" w:color="auto"/>
        <w:left w:val="none" w:sz="0" w:space="0" w:color="auto"/>
        <w:bottom w:val="none" w:sz="0" w:space="0" w:color="auto"/>
        <w:right w:val="none" w:sz="0" w:space="0" w:color="auto"/>
      </w:divBdr>
    </w:div>
    <w:div w:id="2026593190">
      <w:bodyDiv w:val="1"/>
      <w:marLeft w:val="0"/>
      <w:marRight w:val="0"/>
      <w:marTop w:val="0"/>
      <w:marBottom w:val="0"/>
      <w:divBdr>
        <w:top w:val="none" w:sz="0" w:space="0" w:color="auto"/>
        <w:left w:val="none" w:sz="0" w:space="0" w:color="auto"/>
        <w:bottom w:val="none" w:sz="0" w:space="0" w:color="auto"/>
        <w:right w:val="none" w:sz="0" w:space="0" w:color="auto"/>
      </w:divBdr>
    </w:div>
    <w:div w:id="2028166806">
      <w:bodyDiv w:val="1"/>
      <w:marLeft w:val="0"/>
      <w:marRight w:val="0"/>
      <w:marTop w:val="0"/>
      <w:marBottom w:val="0"/>
      <w:divBdr>
        <w:top w:val="none" w:sz="0" w:space="0" w:color="auto"/>
        <w:left w:val="none" w:sz="0" w:space="0" w:color="auto"/>
        <w:bottom w:val="none" w:sz="0" w:space="0" w:color="auto"/>
        <w:right w:val="none" w:sz="0" w:space="0" w:color="auto"/>
      </w:divBdr>
    </w:div>
    <w:div w:id="2112772670">
      <w:bodyDiv w:val="1"/>
      <w:marLeft w:val="0"/>
      <w:marRight w:val="0"/>
      <w:marTop w:val="0"/>
      <w:marBottom w:val="0"/>
      <w:divBdr>
        <w:top w:val="none" w:sz="0" w:space="0" w:color="auto"/>
        <w:left w:val="none" w:sz="0" w:space="0" w:color="auto"/>
        <w:bottom w:val="none" w:sz="0" w:space="0" w:color="auto"/>
        <w:right w:val="none" w:sz="0" w:space="0" w:color="auto"/>
      </w:divBdr>
    </w:div>
    <w:div w:id="21286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Mic23</b:Tag>
    <b:SourceType>InternetSite</b:SourceType>
    <b:Guid>{9E98E1F5-1310-444C-A376-BB66D6418803}</b:Guid>
    <b:Title>Windows 11 Specs and System Requirements | Microsoft</b:Title>
    <b:Year>2023</b:Year>
    <b:Author>
      <b:Author>
        <b:Corporate>Microsoft Corporation</b:Corporate>
      </b:Author>
    </b:Author>
    <b:YearAccessed>2023</b:YearAccessed>
    <b:MonthAccessed>March</b:MonthAccessed>
    <b:DayAccessed>10</b:DayAccessed>
    <b:URL>https://www.microsoft.com/en-us/windows/windows-11-specifications</b:URL>
    <b:RefOrder>1</b:RefOrder>
  </b:Source>
  <b:Source>
    <b:Tag>Mic231</b:Tag>
    <b:SourceType>InternetSite</b:SourceType>
    <b:Guid>{D9F864B2-DE34-41FE-B684-617F8B29D06A}</b:Guid>
    <b:Author>
      <b:Author>
        <b:Corporate>Microsoft Corporation</b:Corporate>
      </b:Author>
    </b:Author>
    <b:Title>Trusted Platform Module (TPM) fundamentals</b:Title>
    <b:Year>2023</b:Year>
    <b:Month>March</b:Month>
    <b:Day>09</b:Day>
    <b:YearAccessed>2023</b:YearAccessed>
    <b:MonthAccessed>March</b:MonthAccessed>
    <b:DayAccessed>15</b:DayAccessed>
    <b:URL>https://learn.microsoft.com/en-us/windows/security/information-protection/tpm/tpm-fundamentals</b:URL>
    <b:RefOrder>2</b:RefOrder>
  </b:Source>
  <b:Source>
    <b:Tag>Mic232</b:Tag>
    <b:SourceType>InternetSite</b:SourceType>
    <b:Guid>{EC2D365C-8745-41CE-BE22-B16170039BDA}</b:Guid>
    <b:Author>
      <b:Author>
        <b:Corporate>Microsoft Corporation</b:Corporate>
      </b:Author>
    </b:Author>
    <b:Title>How Windows uses the TPM</b:Title>
    <b:Year>2023</b:Year>
    <b:Month>Feburary</b:Month>
    <b:Day>27</b:Day>
    <b:YearAccessed>2023</b:YearAccessed>
    <b:MonthAccessed>March</b:MonthAccessed>
    <b:DayAccessed>15</b:DayAccessed>
    <b:URL>https://learn.microsoft.com/en-us/windows/security/information-protection/tpm/how-windows-uses-the-tpm?source=recommendations</b:URL>
    <b:RefOrder>3</b:RefOrder>
  </b:Source>
  <b:Source>
    <b:Tag>Mic233</b:Tag>
    <b:SourceType>InternetSite</b:SourceType>
    <b:Guid>{5E7FB337-5597-4FCB-AB47-166C709E6024}</b:Guid>
    <b:Author>
      <b:Author>
        <b:Corporate>Microsoft Corporation</b:Corporate>
      </b:Author>
    </b:Author>
    <b:Title>What's new in Windows 10, versions 1507 and 1511 (Windows 10) - What's new in Windows</b:Title>
    <b:Year>2023</b:Year>
    <b:Month>Feburary</b:Month>
    <b:Day>27</b:Day>
    <b:YearAccessed>2023</b:YearAccessed>
    <b:MonthAccessed>March</b:MonthAccessed>
    <b:DayAccessed>16</b:DayAccessed>
    <b:URL>https://learn.microsoft.com/en-us/windows/whats-new/whats-new-windows-10-version-1507-and-1511#bitlocker</b:URL>
    <b:RefOrder>4</b:RefOrder>
  </b:Source>
</b:Sources>
</file>

<file path=customXml/itemProps1.xml><?xml version="1.0" encoding="utf-8"?>
<ds:datastoreItem xmlns:ds="http://schemas.openxmlformats.org/officeDocument/2006/customXml" ds:itemID="{15F0A2D6-0ADA-476A-99D8-E1B71B10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Blackmore</dc:creator>
  <cp:keywords/>
  <dc:description/>
  <cp:lastModifiedBy>Tim Blackmore</cp:lastModifiedBy>
  <cp:revision>11</cp:revision>
  <dcterms:created xsi:type="dcterms:W3CDTF">2023-03-17T06:13:00Z</dcterms:created>
  <dcterms:modified xsi:type="dcterms:W3CDTF">2023-03-17T09:56:00Z</dcterms:modified>
</cp:coreProperties>
</file>