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  <w:t>任务二问题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数据在网络中的维度顺序是什么？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NCHW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分别为batch size,channel,height,width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2. nn.Conv2d()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中参数含义与顺序？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in_channels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:输入的图像或者feature map的通道数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2)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out_channels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输出通道数（卷积核的个数）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3)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kernel_size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卷积核尺寸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4)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stride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步长，默认为1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5)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padding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添加到输入两边的零填充位数，默认为0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6)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dilation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:卷积核元素之间的空间间隔，默认为1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7)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groups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:分组数，决定输出通道与多少个输入通道连接，默认为1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8)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bias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:是否在输出上添加一个可以学习的偏置，默认为True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9)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padding_mode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:填充方式,有zeros和circular,默认为zeros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3. nn.Linear()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是什么意思？参数含义与顺序？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线性变换层(全连接)，对输入做线性变换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in_features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:输入特征数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out_features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输出特征数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Bias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是否在输出上添加一个可以学习的偏置，默认为True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4. nn.PReLU()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nn.ReLU()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的区别？示例中定义了很多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nn.PReLU()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，能否只定义一个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PReLU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drawing>
          <wp:inline distT="0" distB="0" distL="114300" distR="114300">
            <wp:extent cx="4183380" cy="256730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PRelu为带参数的ReLu,当ai为0 时，退化为ReLu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PReLu可以从训练数据中学习到不同层不同通道的ai，能提升性能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若只定义一个PReLU，则功能退化为ReLU和Leaky ReLU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5. nn.AvgPool2d()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中参数含义？还有什么常用的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pooling 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方式？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kernel_size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:卷积核尺寸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2)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stride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:步长，默认值为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kernel_size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3)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padding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添加到输入两边的零填充位数，默认为0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4)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ceil_mode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:当设为True时，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用ceil代替floor来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计算输入尺寸，默认为False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5)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count_include_pad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:当设为True时，在均值计算时把零填充考虑进去,默认为True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6)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divisor_override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:如果指定，将被当作除法因子，否则使用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kernel_size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6. view()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的作用？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重构Tensor的维度，返回Tensor的新视图，但不改变Tensor本身的内容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  <w:t>B第二部分问题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如何设置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GPU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device = torch.device(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"cuda"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#指定当前的GPU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或着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device = torch.device(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"cuda</w:t>
      </w:r>
      <w:r>
        <w:rPr>
          <w:rFonts w:hint="eastAsia" w:ascii="Consolas" w:hAnsi="Consolas" w:cs="Consolas"/>
          <w:b/>
          <w:color w:val="008080"/>
          <w:sz w:val="19"/>
          <w:szCs w:val="19"/>
          <w:shd w:val="clear" w:fill="FFFFFF"/>
          <w:lang w:val="en-US" w:eastAsia="zh-CN"/>
        </w:rPr>
        <w:t>:X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#指定编号为X的GPU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然后将需要的tensor通过to函数放到GPU里面去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</w:pP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如何将数据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/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网络传入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CPU/GPU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先按照1的方式定义设备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然后通过to函数将数据/网络传入到该设备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如何读取数据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见dataset/</w:t>
      </w: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</w:rPr>
        <w:t>stage1_baseline</w:t>
      </w: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  <w:t>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Microsoft YaHei UI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见dataset/</w:t>
      </w: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</w:rPr>
        <w:t>stage</w:t>
      </w: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</w:rPr>
        <w:t>_baseline</w:t>
      </w: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  <w:t>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  <w:t>其中stage1的训练数据采用了在线增强的方式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  <w:t>训练stage3的数据采用了离线增强的方式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  <w:t>C第三部分问题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如何设置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针对人脸关键点任务可以设置MSE 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criterion_pts = nn.MSELoss()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配合后续周学习，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loss 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都有哪些。分别有什么作用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(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常用的即可)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  <w:t>分类Loss: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1)二分类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torch.nn.BCEWithLogitsLoss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2)多分类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torch.nn.CrossEntropyLoss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torch.nn.logSoftmax+torch.nn.NLLloss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3)多类别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torch.nn.multiLabelSoftMarginLoss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torch.nn.multiLabelMarginLoss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4)针对类别不平衡，难易样本数量不平衡有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Weighted Cross Entropy 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Focal Loss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48100" cy="883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6)人脸识别常见Loss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L-Softmax Loss,Cen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ter Loss,Triplet Loss/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Contrastive Loss</w:t>
      </w:r>
      <w:r>
        <w:rPr>
          <w:rFonts w:hint="eastAsia" w:cs="宋体"/>
          <w:b w:val="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L2-Softmax</w:t>
      </w:r>
      <w:r>
        <w:rPr>
          <w:rFonts w:hint="eastAsia" w:cs="宋体"/>
          <w:b w:val="0"/>
          <w:kern w:val="0"/>
          <w:sz w:val="24"/>
          <w:szCs w:val="24"/>
          <w:lang w:val="en-US" w:eastAsia="zh-CN" w:bidi="ar"/>
        </w:rPr>
        <w:t xml:space="preserve"> Loss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,Additive Margin Loss</w:t>
      </w:r>
      <w:r>
        <w:rPr>
          <w:rFonts w:hint="eastAsia" w:cs="宋体"/>
          <w:b w:val="0"/>
          <w:kern w:val="0"/>
          <w:sz w:val="24"/>
          <w:szCs w:val="24"/>
          <w:lang w:val="en-US" w:eastAsia="zh-CN" w:bidi="ar"/>
        </w:rPr>
        <w:t>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cs="宋体"/>
          <w:b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b/>
          <w:bCs/>
          <w:color w:val="000000"/>
          <w:kern w:val="0"/>
          <w:sz w:val="19"/>
          <w:szCs w:val="19"/>
          <w:shd w:val="clear" w:fill="FFFFFF"/>
          <w:lang w:val="en-US" w:eastAsia="zh-CN" w:bidi="ar"/>
        </w:rPr>
        <w:t>回归Loss: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kern w:val="0"/>
          <w:sz w:val="24"/>
          <w:szCs w:val="24"/>
          <w:lang w:val="en-US" w:eastAsia="zh-CN" w:bidi="ar"/>
        </w:rPr>
        <w:t>1)均方误差MSE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nn.MSELoss()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kern w:val="0"/>
          <w:sz w:val="24"/>
          <w:szCs w:val="24"/>
          <w:lang w:val="en-US" w:eastAsia="zh-CN" w:bidi="ar"/>
        </w:rPr>
        <w:t>平均绝对误差 MSE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nn.L1Loss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Huber Loss/Smooth L1 Loss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nn.SmoothL1Loss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如何设置优化器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优化器在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torch.optim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包下面，以Adam为例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optimizer = torch.optim.Adam(model.parameters(),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=args.lr,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weight_decay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=args.weight_decay)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输入参数分别为：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arams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:待优化的参数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:学习率，默认为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1e-3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etas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:计算过程中需要的系数默认为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0.999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:增加数值稳定性，默认为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1e-8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weight_decay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:权重衰减系数，默认为0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Amsgrad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:是否使用AMSGrad变体，默认为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配合第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8 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周内容，常用的优化器有哪些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1)SGD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2)SGD+Momentum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3)Nesterov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4)Adagrad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5)RMSProp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6)Adam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  <w:t>E第五部分问题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2. optimizer.zero</w:t>
      </w:r>
      <w:r>
        <w:rPr>
          <w:rFonts w:hint="eastAsia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_grad</w:t>
      </w: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()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optimizer.step()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的作用是什么？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1)Pytorch中梯度是累加的，为了得到每个mini-batch的梯度，需要通过zero_grad清空上一次的结果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2)我们训练是以mini-batch为单位，在得到每个mini-batch的梯度之后，用step来更新网络参数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3. model.eval()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产生的效果？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eval函数只对某些层有效果，比如Dropout和Batch Norm，因为他们在训练和测试的时候处理方式不一样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4.</w:t>
      </w: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model.state_dict()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的目的是？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  <w:rPr>
          <w:rFonts w:hint="default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state_dict 是一个字典对象,将每一层(可训练层)与它的对应参数建立映射关系，如model的每一层的weights及偏置等等。model.state_dict()可以得到网络模型参数，但model.state_dict()是浅拷贝，返回的参数仍然会随着网络的训练而变化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</w:pP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何时系统自动进行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bp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当调用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loss.backward()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</w:pP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如果自己的层需要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bp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，如何实现？如何调用？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/>
        <w:spacing w:before="0" w:beforeAutospacing="0" w:after="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7"/>
          <w:szCs w:val="17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1）继承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torch.autograd.Function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2）重写forward和backward并添加@staticmethod注解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1)将操作封装成一个函数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2)或者给自定义方法通过apply取别名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B. Finetun</w:t>
      </w:r>
      <w:r>
        <w:rPr>
          <w:rFonts w:hint="eastAsia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>e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时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，</w:t>
      </w:r>
      <w:r>
        <w:rPr>
          <w:rFonts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 xml:space="preserve">有时还要固定某些层不参与训练，请回答如何 </w:t>
      </w:r>
      <w:r>
        <w:rPr>
          <w:rFonts w:hint="default" w:ascii="Calibri" w:hAnsi="Calibri" w:eastAsia="宋体" w:cs="Calibri"/>
          <w:color w:val="00B050"/>
          <w:kern w:val="0"/>
          <w:sz w:val="22"/>
          <w:szCs w:val="22"/>
          <w:lang w:val="en-US" w:eastAsia="zh-CN" w:bidi="ar"/>
        </w:rPr>
        <w:t xml:space="preserve">freeze </w:t>
      </w:r>
      <w:r>
        <w:rPr>
          <w:rFonts w:hint="eastAsia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  <w:t>某些层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  <w:t>将需要固定层的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requires_grad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设为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等线" w:hAnsi="等线" w:eastAsia="等线" w:cs="等线"/>
          <w:color w:val="00B050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auto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icrosoft YaHei UI" w:hAnsi="Microsoft YaHei UI" w:eastAsia="Microsoft YaHei UI" w:cs="Microsoft YaHei UI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1EE97"/>
    <w:multiLevelType w:val="singleLevel"/>
    <w:tmpl w:val="9F91EE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AB83364"/>
    <w:multiLevelType w:val="singleLevel"/>
    <w:tmpl w:val="BAB83364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F02C7437"/>
    <w:multiLevelType w:val="singleLevel"/>
    <w:tmpl w:val="F02C743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6D2623"/>
    <w:multiLevelType w:val="singleLevel"/>
    <w:tmpl w:val="1A6D2623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50E6F48"/>
    <w:multiLevelType w:val="singleLevel"/>
    <w:tmpl w:val="550E6F4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A0CB2"/>
    <w:rsid w:val="40A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2020-03-29T12:24:00Z</dcterms:created>
  <dc:creator>孙琴</dc:creator>
  <cp:lastModifiedBy>孙琴</cp:lastModifiedBy>
  <dcterms:modified xsi:type="dcterms:W3CDTF">2020-03-29T14:22:57Z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