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48A98">
      <w:pPr>
        <w:spacing w:before="84"/>
        <w:ind w:right="360"/>
        <w:jc w:val="left"/>
        <w:rPr>
          <w:rFonts w:ascii="Times New Roman" w:hAnsi="Times New Roman" w:cs="Times New Roman"/>
          <w:b/>
          <w:sz w:val="28"/>
          <w:szCs w:val="28"/>
        </w:rPr>
      </w:pPr>
      <w:r>
        <w:rPr>
          <w:rFonts w:ascii="Times New Roman" w:hAnsi="Times New Roman" w:cs="Times New Roman"/>
          <w:b/>
          <w:sz w:val="28"/>
          <w:szCs w:val="28"/>
        </w:rPr>
        <w:t>VirtualCompanySim: Explainable Personality Parameterization for Multi-Agent Career Exploration Simulation</w:t>
      </w:r>
    </w:p>
    <w:p w14:paraId="6B65CDC5">
      <w:pPr>
        <w:adjustRightInd w:val="0"/>
        <w:snapToGrid w:val="0"/>
        <w:spacing w:line="228" w:lineRule="auto"/>
        <w:rPr>
          <w:rFonts w:ascii="Times New Roman" w:hAnsi="Times New Roman" w:cs="Times New Roman"/>
          <w:sz w:val="16"/>
          <w:szCs w:val="16"/>
        </w:rPr>
      </w:pPr>
    </w:p>
    <w:p w14:paraId="3B93F5A1">
      <w:pPr>
        <w:adjustRightInd w:val="0"/>
        <w:snapToGrid w:val="0"/>
        <w:spacing w:line="228" w:lineRule="auto"/>
        <w:rPr>
          <w:rFonts w:ascii="Times New Roman" w:hAnsi="Times New Roman" w:cs="Times New Roman"/>
          <w:sz w:val="16"/>
          <w:szCs w:val="16"/>
        </w:rPr>
      </w:pPr>
      <w:r>
        <w:rPr>
          <w:rFonts w:ascii="Times New Roman" w:hAnsi="Times New Roman" w:cs="Times New Roman"/>
          <w:sz w:val="16"/>
          <w:szCs w:val="16"/>
        </w:rPr>
        <w:t>Zhuoyi WANG, School of Computer and Software Engineering, Hohai University, Nanjing, China</w:t>
      </w:r>
      <w:r>
        <w:rPr>
          <w:rFonts w:hint="eastAsia" w:ascii="Times New Roman" w:hAnsi="Times New Roman" w:cs="Times New Roman"/>
          <w:sz w:val="16"/>
          <w:szCs w:val="16"/>
        </w:rPr>
        <w:t>；</w:t>
      </w:r>
      <w:r>
        <w:rPr>
          <w:rFonts w:ascii="Times New Roman" w:hAnsi="Times New Roman" w:cs="Times New Roman"/>
          <w:sz w:val="16"/>
          <w:szCs w:val="16"/>
        </w:rPr>
        <w:t>3029264402@qq.com</w:t>
      </w:r>
    </w:p>
    <w:p w14:paraId="3642ED18">
      <w:pPr>
        <w:adjustRightInd w:val="0"/>
        <w:snapToGrid w:val="0"/>
        <w:spacing w:line="228" w:lineRule="auto"/>
        <w:rPr>
          <w:rFonts w:ascii="Times New Roman" w:hAnsi="Times New Roman" w:cs="Times New Roman"/>
          <w:sz w:val="16"/>
          <w:szCs w:val="16"/>
        </w:rPr>
      </w:pPr>
      <w:r>
        <w:rPr>
          <w:rFonts w:ascii="Times New Roman" w:hAnsi="Times New Roman" w:cs="Times New Roman"/>
          <w:sz w:val="16"/>
          <w:szCs w:val="16"/>
        </w:rPr>
        <w:t>Xushen LIN, School of Computer and Software Engineering, Hohai University, Nanjing, China;</w:t>
      </w:r>
      <w:r>
        <w:rPr>
          <w:rFonts w:hint="eastAsia" w:ascii="Times New Roman" w:hAnsi="Times New Roman" w:cs="Times New Roman"/>
          <w:sz w:val="16"/>
          <w:szCs w:val="16"/>
        </w:rPr>
        <w:t xml:space="preserve"> </w:t>
      </w:r>
      <w:r>
        <w:fldChar w:fldCharType="begin"/>
      </w:r>
      <w:r>
        <w:instrText xml:space="preserve"> HYPERLINK "mailto:2406010123@hhu.edu.cn" </w:instrText>
      </w:r>
      <w:r>
        <w:fldChar w:fldCharType="separate"/>
      </w:r>
      <w:r>
        <w:rPr>
          <w:rStyle w:val="12"/>
          <w:rFonts w:hint="eastAsia" w:ascii="Times New Roman" w:hAnsi="Times New Roman" w:cs="Times New Roman"/>
          <w:color w:val="000000" w:themeColor="text1"/>
          <w:sz w:val="16"/>
          <w:szCs w:val="16"/>
          <w:u w:val="none"/>
          <w14:textFill>
            <w14:solidFill>
              <w14:schemeClr w14:val="tx1"/>
            </w14:solidFill>
          </w14:textFill>
        </w:rPr>
        <w:t>2406010123@hhu.edu.cn</w:t>
      </w:r>
      <w:r>
        <w:rPr>
          <w:rStyle w:val="12"/>
          <w:rFonts w:hint="eastAsia" w:ascii="Times New Roman" w:hAnsi="Times New Roman" w:cs="Times New Roman"/>
          <w:color w:val="000000" w:themeColor="text1"/>
          <w:sz w:val="16"/>
          <w:szCs w:val="16"/>
          <w:u w:val="none"/>
          <w14:textFill>
            <w14:solidFill>
              <w14:schemeClr w14:val="tx1"/>
            </w14:solidFill>
          </w14:textFill>
        </w:rPr>
        <w:fldChar w:fldCharType="end"/>
      </w:r>
    </w:p>
    <w:p w14:paraId="408E6FC2">
      <w:pPr>
        <w:adjustRightInd w:val="0"/>
        <w:snapToGrid w:val="0"/>
        <w:spacing w:line="228" w:lineRule="auto"/>
        <w:rPr>
          <w:rFonts w:ascii="Times New Roman" w:hAnsi="Times New Roman" w:cs="Times New Roman"/>
          <w:sz w:val="16"/>
          <w:szCs w:val="16"/>
        </w:rPr>
      </w:pPr>
      <w:r>
        <w:rPr>
          <w:rFonts w:ascii="Times New Roman" w:hAnsi="Times New Roman" w:cs="Times New Roman"/>
          <w:sz w:val="16"/>
          <w:szCs w:val="16"/>
        </w:rPr>
        <w:t>Rui SUN, School of Computer and Software Engineering, Hohai University, Nanjing, China</w:t>
      </w:r>
      <w:r>
        <w:rPr>
          <w:rFonts w:hint="eastAsia" w:ascii="Times New Roman" w:hAnsi="Times New Roman" w:cs="Times New Roman"/>
          <w:sz w:val="16"/>
          <w:szCs w:val="16"/>
        </w:rPr>
        <w:t>；514973426@qq.com</w:t>
      </w:r>
    </w:p>
    <w:p w14:paraId="33624E9A">
      <w:pPr>
        <w:adjustRightInd w:val="0"/>
        <w:snapToGrid w:val="0"/>
        <w:spacing w:line="228" w:lineRule="auto"/>
        <w:rPr>
          <w:rFonts w:ascii="Times New Roman" w:hAnsi="Times New Roman" w:cs="Times New Roman"/>
          <w:sz w:val="16"/>
          <w:szCs w:val="16"/>
        </w:rPr>
      </w:pPr>
      <w:r>
        <w:rPr>
          <w:rFonts w:ascii="Times New Roman" w:hAnsi="Times New Roman" w:cs="Times New Roman"/>
          <w:sz w:val="16"/>
          <w:szCs w:val="16"/>
        </w:rPr>
        <w:t>Tingjin WANG, School of Computer and Software Engineering, Hohai University, Nanjing, China</w:t>
      </w:r>
      <w:r>
        <w:rPr>
          <w:rFonts w:hint="eastAsia" w:ascii="Times New Roman" w:hAnsi="Times New Roman" w:cs="Times New Roman"/>
          <w:sz w:val="16"/>
          <w:szCs w:val="16"/>
        </w:rPr>
        <w:t>；885206998@qq.com</w:t>
      </w:r>
    </w:p>
    <w:p w14:paraId="5D6E3DB7">
      <w:pPr>
        <w:adjustRightInd w:val="0"/>
        <w:snapToGrid w:val="0"/>
        <w:spacing w:line="228" w:lineRule="auto"/>
        <w:rPr>
          <w:rFonts w:ascii="Times New Roman" w:hAnsi="Times New Roman" w:cs="Times New Roman"/>
          <w:sz w:val="16"/>
          <w:szCs w:val="16"/>
        </w:rPr>
      </w:pPr>
    </w:p>
    <w:p w14:paraId="6942722A">
      <w:pPr>
        <w:adjustRightInd w:val="0"/>
        <w:snapToGrid w:val="0"/>
        <w:spacing w:before="120" w:after="120" w:line="228" w:lineRule="auto"/>
        <w:rPr>
          <w:rFonts w:ascii="Times New Roman" w:hAnsi="Times New Roman" w:cs="Times New Roman"/>
          <w:b/>
          <w:sz w:val="20"/>
          <w:szCs w:val="20"/>
        </w:rPr>
      </w:pPr>
      <w:r>
        <w:rPr>
          <w:rFonts w:ascii="Times New Roman" w:hAnsi="Times New Roman" w:cs="Times New Roman"/>
          <w:b/>
          <w:sz w:val="20"/>
          <w:szCs w:val="20"/>
        </w:rPr>
        <w:t>Abstract</w:t>
      </w:r>
    </w:p>
    <w:p w14:paraId="3522A98C">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This paper presents VirtualCompanySim, a reusable research software package for multi-agent career exploration simulation. Its core contribution is explainable personality parameterization: MBTI dimensions are converted into inspectable action weights and multipliers rather than opaque prompt attributes. The software models a three-floor virtual company with 16 autonomous agents, incorporating a four-layer decision architecture with deterministic fallback, persistent social memory, adaptive task generation, and a dynamic event engine. Reproducible experiments yield a 98.0% MBTI behavioral consistency rate and a 65.33% loss in type distinctiveness upon removing the mapping. The package includes diagnostic APIs, fixed-seed scripts, and stored results for inspection and reuse.</w:t>
      </w:r>
    </w:p>
    <w:p w14:paraId="0DCF361B">
      <w:pPr>
        <w:adjustRightInd w:val="0"/>
        <w:snapToGrid w:val="0"/>
        <w:spacing w:line="228" w:lineRule="auto"/>
        <w:rPr>
          <w:rFonts w:ascii="Times New Roman" w:hAnsi="Times New Roman" w:cs="Times New Roman"/>
          <w:sz w:val="20"/>
          <w:szCs w:val="20"/>
        </w:rPr>
      </w:pPr>
      <w:r>
        <w:rPr>
          <w:rFonts w:ascii="Times New Roman" w:hAnsi="Times New Roman" w:cs="Times New Roman"/>
          <w:b/>
          <w:bCs/>
          <w:sz w:val="20"/>
          <w:szCs w:val="20"/>
        </w:rPr>
        <w:t>Keywords</w:t>
      </w:r>
      <w:r>
        <w:rPr>
          <w:rFonts w:ascii="Times New Roman" w:hAnsi="Times New Roman" w:cs="Times New Roman"/>
          <w:sz w:val="20"/>
          <w:szCs w:val="20"/>
        </w:rPr>
        <w:t xml:space="preserve">: </w:t>
      </w:r>
      <w:r>
        <w:rPr>
          <w:rFonts w:hint="eastAsia" w:ascii="Times New Roman" w:hAnsi="Times New Roman" w:cs="Times New Roman"/>
          <w:sz w:val="20"/>
          <w:szCs w:val="20"/>
        </w:rPr>
        <w:t>Career exploration; Multi-agent simulation; Explainable personality parameterization; Virtual workplace simulation</w:t>
      </w:r>
    </w:p>
    <w:p w14:paraId="615B5FE8">
      <w:pPr>
        <w:adjustRightInd w:val="0"/>
        <w:snapToGrid w:val="0"/>
        <w:spacing w:line="228" w:lineRule="auto"/>
        <w:rPr>
          <w:rFonts w:ascii="Times New Roman" w:hAnsi="Times New Roman" w:cs="Times New Roman"/>
          <w:sz w:val="20"/>
          <w:szCs w:val="20"/>
        </w:rPr>
      </w:pPr>
    </w:p>
    <w:p w14:paraId="2B3A3E46">
      <w:pPr>
        <w:adjustRightInd w:val="0"/>
        <w:snapToGrid w:val="0"/>
        <w:spacing w:line="228" w:lineRule="auto"/>
        <w:rPr>
          <w:rFonts w:hint="default" w:ascii="Times New Roman" w:hAnsi="Times New Roman" w:cs="Times New Roman" w:eastAsiaTheme="minorEastAsia"/>
          <w:b/>
          <w:bCs/>
          <w:sz w:val="20"/>
          <w:szCs w:val="20"/>
          <w:lang w:val="en-US" w:eastAsia="zh-CN"/>
        </w:rPr>
      </w:pPr>
      <w:r>
        <w:rPr>
          <w:rFonts w:hint="eastAsia" w:ascii="Times New Roman" w:hAnsi="Times New Roman" w:cs="Times New Roman"/>
          <w:b/>
          <w:bCs/>
          <w:sz w:val="20"/>
          <w:szCs w:val="20"/>
          <w:lang w:val="en-US" w:eastAsia="zh-CN"/>
        </w:rPr>
        <w:t>Metadata</w:t>
      </w:r>
    </w:p>
    <w:p w14:paraId="097B26AB">
      <w:pPr>
        <w:adjustRightInd w:val="0"/>
        <w:snapToGrid w:val="0"/>
        <w:spacing w:line="228" w:lineRule="auto"/>
        <w:rPr>
          <w:rFonts w:hint="default" w:ascii="Times New Roman" w:hAnsi="Times New Roman" w:eastAsia="宋体" w:cs="Times New Roman"/>
          <w:b w:val="0"/>
          <w:bCs w:val="0"/>
          <w:sz w:val="20"/>
          <w:szCs w:val="20"/>
          <w:lang w:val="en-US" w:eastAsia="zh-CN"/>
        </w:rPr>
      </w:pPr>
      <w:r>
        <w:rPr>
          <w:rFonts w:hint="eastAsia" w:ascii="Times New Roman" w:hAnsi="Times New Roman" w:eastAsia="Times New Roman" w:cs="Times New Roman"/>
          <w:b w:val="0"/>
          <w:bCs w:val="0"/>
          <w:sz w:val="20"/>
          <w:szCs w:val="20"/>
        </w:rPr>
        <w:t>Code metadata</w:t>
      </w:r>
      <w:r>
        <w:rPr>
          <w:rFonts w:hint="eastAsia" w:ascii="Times New Roman" w:hAnsi="Times New Roman" w:eastAsia="宋体" w:cs="Times New Roman"/>
          <w:b w:val="0"/>
          <w:bCs w:val="0"/>
          <w:sz w:val="20"/>
          <w:szCs w:val="20"/>
          <w:lang w:val="en-US" w:eastAsia="zh-CN"/>
        </w:rPr>
        <w:t xml:space="preserve"> (mandatory)</w:t>
      </w:r>
    </w:p>
    <w:tbl>
      <w:tblPr>
        <w:tblStyle w:val="8"/>
        <w:tblW w:w="8880" w:type="dxa"/>
        <w:jc w:val="center"/>
        <w:tblLayout w:type="fixed"/>
        <w:tblCellMar>
          <w:top w:w="0" w:type="dxa"/>
          <w:left w:w="108" w:type="dxa"/>
          <w:bottom w:w="0" w:type="dxa"/>
          <w:right w:w="108" w:type="dxa"/>
        </w:tblCellMar>
      </w:tblPr>
      <w:tblGrid>
        <w:gridCol w:w="927"/>
        <w:gridCol w:w="2932"/>
        <w:gridCol w:w="5021"/>
      </w:tblGrid>
      <w:tr w14:paraId="6E0C134F">
        <w:tblPrEx>
          <w:tblCellMar>
            <w:top w:w="0" w:type="dxa"/>
            <w:left w:w="108" w:type="dxa"/>
            <w:bottom w:w="0" w:type="dxa"/>
            <w:right w:w="108" w:type="dxa"/>
          </w:tblCellMar>
        </w:tblPrEx>
        <w:trPr>
          <w:jc w:val="center"/>
        </w:trPr>
        <w:tc>
          <w:tcPr>
            <w:tcW w:w="927" w:type="dxa"/>
            <w:tcBorders>
              <w:top w:val="single" w:color="000000" w:sz="12" w:space="0"/>
              <w:left w:val="nil"/>
              <w:bottom w:val="single" w:color="000000" w:sz="4" w:space="0"/>
              <w:right w:val="nil"/>
              <w:tl2br w:val="nil"/>
            </w:tcBorders>
            <w:shd w:val="clear" w:color="auto" w:fill="FFFFFF"/>
            <w:vAlign w:val="center"/>
          </w:tcPr>
          <w:p w14:paraId="54872A5D">
            <w:pPr>
              <w:jc w:val="left"/>
              <w:rPr>
                <w:rFonts w:hint="eastAsia" w:ascii="Times New Roman" w:hAnsi="Times New Roman" w:eastAsia="宋体"/>
                <w:b/>
                <w:bCs/>
                <w:color w:val="000000"/>
                <w:sz w:val="16"/>
                <w:lang w:eastAsia="zh-CN"/>
              </w:rPr>
            </w:pPr>
            <w:r>
              <w:rPr>
                <w:rFonts w:hint="eastAsia" w:ascii="Times New Roman" w:hAnsi="Times New Roman" w:eastAsia="宋体"/>
                <w:b/>
                <w:bCs/>
                <w:color w:val="000000"/>
                <w:sz w:val="16"/>
              </w:rPr>
              <w:t>Nr</w:t>
            </w:r>
            <w:r>
              <w:rPr>
                <w:rFonts w:hint="eastAsia" w:ascii="Times New Roman" w:hAnsi="Times New Roman" w:eastAsia="宋体"/>
                <w:b/>
                <w:bCs/>
                <w:color w:val="000000"/>
                <w:sz w:val="16"/>
                <w:lang w:eastAsia="zh-CN"/>
              </w:rPr>
              <w:t>.</w:t>
            </w:r>
          </w:p>
        </w:tc>
        <w:tc>
          <w:tcPr>
            <w:tcW w:w="2932" w:type="dxa"/>
            <w:tcBorders>
              <w:top w:val="single" w:color="000000" w:sz="12" w:space="0"/>
              <w:left w:val="nil"/>
              <w:bottom w:val="single" w:color="000000" w:sz="4" w:space="0"/>
              <w:right w:val="nil"/>
              <w:tl2br w:val="nil"/>
            </w:tcBorders>
            <w:shd w:val="clear" w:color="auto" w:fill="FFFFFF"/>
            <w:vAlign w:val="center"/>
          </w:tcPr>
          <w:p w14:paraId="60710D1F">
            <w:pPr>
              <w:jc w:val="left"/>
              <w:rPr>
                <w:rFonts w:hint="default" w:eastAsia="宋体"/>
                <w:b/>
                <w:bCs/>
                <w:color w:val="000000"/>
                <w:lang w:val="en-US" w:eastAsia="zh-CN"/>
              </w:rPr>
            </w:pPr>
            <w:r>
              <w:rPr>
                <w:rFonts w:hint="eastAsia" w:ascii="Times New Roman" w:hAnsi="Times New Roman" w:eastAsia="宋体"/>
                <w:b/>
                <w:bCs/>
                <w:color w:val="000000"/>
                <w:sz w:val="16"/>
                <w:lang w:val="en-US" w:eastAsia="zh-CN"/>
              </w:rPr>
              <w:t>Code metadata description</w:t>
            </w:r>
          </w:p>
        </w:tc>
        <w:tc>
          <w:tcPr>
            <w:tcW w:w="5021" w:type="dxa"/>
            <w:tcBorders>
              <w:top w:val="single" w:color="000000" w:sz="12" w:space="0"/>
              <w:left w:val="nil"/>
              <w:bottom w:val="single" w:color="000000" w:sz="4" w:space="0"/>
              <w:right w:val="nil"/>
            </w:tcBorders>
            <w:shd w:val="clear" w:color="auto" w:fill="FFFFFF"/>
            <w:vAlign w:val="center"/>
          </w:tcPr>
          <w:p w14:paraId="6C114835">
            <w:pPr>
              <w:jc w:val="left"/>
              <w:rPr>
                <w:rFonts w:hint="default" w:eastAsia="宋体"/>
                <w:b/>
                <w:bCs/>
                <w:color w:val="000000"/>
                <w:lang w:val="en-US" w:eastAsia="zh-CN"/>
              </w:rPr>
            </w:pPr>
            <w:r>
              <w:rPr>
                <w:rFonts w:hint="eastAsia" w:ascii="Times New Roman" w:hAnsi="Times New Roman" w:eastAsia="宋体"/>
                <w:b/>
                <w:bCs/>
                <w:color w:val="000000"/>
                <w:sz w:val="16"/>
                <w:lang w:val="en-US" w:eastAsia="zh-CN"/>
              </w:rPr>
              <w:t>Metadata</w:t>
            </w:r>
          </w:p>
        </w:tc>
      </w:tr>
      <w:tr w14:paraId="09A0E80F">
        <w:tblPrEx>
          <w:tblCellMar>
            <w:top w:w="0" w:type="dxa"/>
            <w:left w:w="108" w:type="dxa"/>
            <w:bottom w:w="0" w:type="dxa"/>
            <w:right w:w="108" w:type="dxa"/>
          </w:tblCellMar>
        </w:tblPrEx>
        <w:trPr>
          <w:jc w:val="center"/>
        </w:trPr>
        <w:tc>
          <w:tcPr>
            <w:tcW w:w="927" w:type="dxa"/>
            <w:tcBorders>
              <w:top w:val="single" w:color="000000" w:sz="4" w:space="0"/>
              <w:left w:val="nil"/>
              <w:bottom w:val="nil"/>
              <w:right w:val="nil"/>
            </w:tcBorders>
            <w:shd w:val="clear" w:color="auto" w:fill="FFFFFF"/>
            <w:vAlign w:val="center"/>
          </w:tcPr>
          <w:p w14:paraId="604DB9DB">
            <w:pPr>
              <w:jc w:val="left"/>
              <w:rPr>
                <w:rFonts w:ascii="Times New Roman" w:hAnsi="Times New Roman" w:eastAsia="宋体"/>
                <w:color w:val="000000"/>
                <w:sz w:val="16"/>
              </w:rPr>
            </w:pPr>
            <w:r>
              <w:rPr>
                <w:rFonts w:hint="eastAsia" w:ascii="Times New Roman" w:hAnsi="Times New Roman" w:eastAsia="宋体"/>
                <w:color w:val="000000"/>
                <w:sz w:val="16"/>
              </w:rPr>
              <w:t>C1</w:t>
            </w:r>
          </w:p>
        </w:tc>
        <w:tc>
          <w:tcPr>
            <w:tcW w:w="2932" w:type="dxa"/>
            <w:tcBorders>
              <w:top w:val="single" w:color="000000" w:sz="4" w:space="0"/>
              <w:left w:val="nil"/>
              <w:bottom w:val="nil"/>
              <w:right w:val="nil"/>
            </w:tcBorders>
            <w:shd w:val="clear" w:color="auto" w:fill="FFFFFF"/>
            <w:vAlign w:val="center"/>
          </w:tcPr>
          <w:p w14:paraId="20DFDFA7">
            <w:pPr>
              <w:jc w:val="left"/>
              <w:rPr>
                <w:rFonts w:hint="eastAsia"/>
                <w:color w:val="000000"/>
              </w:rPr>
            </w:pPr>
            <w:r>
              <w:rPr>
                <w:rFonts w:ascii="Times New Roman" w:hAnsi="Times New Roman" w:eastAsia="Times New Roman"/>
                <w:color w:val="000000"/>
                <w:sz w:val="16"/>
              </w:rPr>
              <w:t>Current code version</w:t>
            </w:r>
          </w:p>
        </w:tc>
        <w:tc>
          <w:tcPr>
            <w:tcW w:w="5021" w:type="dxa"/>
            <w:tcBorders>
              <w:top w:val="single" w:color="000000" w:sz="4" w:space="0"/>
              <w:left w:val="nil"/>
              <w:bottom w:val="nil"/>
              <w:right w:val="nil"/>
            </w:tcBorders>
            <w:shd w:val="clear" w:color="auto" w:fill="FFFFFF"/>
            <w:vAlign w:val="center"/>
          </w:tcPr>
          <w:p w14:paraId="4793BC05">
            <w:pPr>
              <w:jc w:val="left"/>
              <w:rPr>
                <w:rFonts w:hint="eastAsia"/>
                <w:color w:val="000000"/>
              </w:rPr>
            </w:pPr>
            <w:r>
              <w:rPr>
                <w:rFonts w:ascii="Times New Roman" w:hAnsi="Times New Roman" w:eastAsia="Times New Roman"/>
                <w:color w:val="000000"/>
                <w:sz w:val="16"/>
              </w:rPr>
              <w:t>v1.0.1</w:t>
            </w:r>
          </w:p>
        </w:tc>
      </w:tr>
      <w:tr w14:paraId="56343088">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7CF32B90">
            <w:pPr>
              <w:jc w:val="left"/>
              <w:rPr>
                <w:rFonts w:ascii="Times New Roman" w:hAnsi="Times New Roman" w:eastAsia="宋体"/>
                <w:color w:val="000000"/>
                <w:sz w:val="16"/>
              </w:rPr>
            </w:pPr>
            <w:r>
              <w:rPr>
                <w:rFonts w:hint="eastAsia" w:ascii="Times New Roman" w:hAnsi="Times New Roman" w:eastAsia="宋体"/>
                <w:color w:val="000000"/>
                <w:sz w:val="16"/>
              </w:rPr>
              <w:t>C2</w:t>
            </w:r>
          </w:p>
        </w:tc>
        <w:tc>
          <w:tcPr>
            <w:tcW w:w="2932" w:type="dxa"/>
            <w:tcBorders>
              <w:top w:val="nil"/>
              <w:left w:val="nil"/>
              <w:bottom w:val="nil"/>
              <w:right w:val="nil"/>
            </w:tcBorders>
            <w:shd w:val="clear" w:color="auto" w:fill="FFFFFF"/>
            <w:vAlign w:val="center"/>
          </w:tcPr>
          <w:p w14:paraId="17DB2249">
            <w:pPr>
              <w:jc w:val="left"/>
              <w:rPr>
                <w:rFonts w:hint="eastAsia"/>
                <w:color w:val="000000"/>
              </w:rPr>
            </w:pPr>
            <w:r>
              <w:rPr>
                <w:rFonts w:ascii="Times New Roman" w:hAnsi="Times New Roman" w:eastAsia="Times New Roman"/>
                <w:color w:val="000000"/>
                <w:sz w:val="16"/>
              </w:rPr>
              <w:t>Permanent link to the code/repository used for this version</w:t>
            </w:r>
          </w:p>
        </w:tc>
        <w:tc>
          <w:tcPr>
            <w:tcW w:w="5021" w:type="dxa"/>
            <w:tcBorders>
              <w:top w:val="nil"/>
              <w:left w:val="nil"/>
              <w:bottom w:val="nil"/>
              <w:right w:val="nil"/>
            </w:tcBorders>
            <w:shd w:val="clear" w:color="auto" w:fill="FFFFFF"/>
            <w:vAlign w:val="center"/>
          </w:tcPr>
          <w:p w14:paraId="4CBEFE72">
            <w:pPr>
              <w:jc w:val="left"/>
              <w:rPr>
                <w:rFonts w:hint="eastAsia"/>
                <w:color w:val="000000"/>
              </w:rPr>
            </w:pPr>
            <w:r>
              <w:rPr>
                <w:rFonts w:ascii="Times New Roman" w:hAnsi="Times New Roman" w:eastAsia="Times New Roman"/>
                <w:color w:val="000000"/>
                <w:sz w:val="16"/>
              </w:rPr>
              <w:t>https://github.com/Joker-Xue/softwarex-virtual-company-simulator/releases/tag/v1.0.1</w:t>
            </w:r>
          </w:p>
        </w:tc>
      </w:tr>
      <w:tr w14:paraId="416BEF98">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2B36B86F">
            <w:pPr>
              <w:jc w:val="left"/>
              <w:rPr>
                <w:rFonts w:ascii="Times New Roman" w:hAnsi="Times New Roman" w:eastAsia="宋体"/>
                <w:color w:val="000000"/>
                <w:sz w:val="16"/>
              </w:rPr>
            </w:pPr>
            <w:r>
              <w:rPr>
                <w:rFonts w:hint="eastAsia" w:ascii="Times New Roman" w:hAnsi="Times New Roman" w:eastAsia="宋体"/>
                <w:color w:val="000000"/>
                <w:sz w:val="16"/>
              </w:rPr>
              <w:t>C3</w:t>
            </w:r>
          </w:p>
        </w:tc>
        <w:tc>
          <w:tcPr>
            <w:tcW w:w="2932" w:type="dxa"/>
            <w:tcBorders>
              <w:top w:val="nil"/>
              <w:left w:val="nil"/>
              <w:bottom w:val="nil"/>
              <w:right w:val="nil"/>
            </w:tcBorders>
            <w:shd w:val="clear" w:color="auto" w:fill="FFFFFF"/>
            <w:vAlign w:val="center"/>
          </w:tcPr>
          <w:p w14:paraId="6D4E4ACB">
            <w:pPr>
              <w:jc w:val="left"/>
              <w:rPr>
                <w:rFonts w:ascii="Times New Roman" w:hAnsi="Times New Roman" w:eastAsia="Times New Roman"/>
                <w:color w:val="000000"/>
                <w:sz w:val="16"/>
              </w:rPr>
            </w:pPr>
            <w:r>
              <w:rPr>
                <w:rFonts w:hint="eastAsia" w:ascii="Times New Roman" w:hAnsi="Times New Roman" w:eastAsia="Times New Roman"/>
                <w:color w:val="000000"/>
                <w:sz w:val="16"/>
              </w:rPr>
              <w:t xml:space="preserve">Permanent link to </w:t>
            </w:r>
            <w:r>
              <w:rPr>
                <w:rFonts w:hint="eastAsia" w:ascii="Times New Roman" w:hAnsi="Times New Roman" w:eastAsia="宋体"/>
                <w:color w:val="000000"/>
                <w:sz w:val="16"/>
                <w:lang w:val="en-US" w:eastAsia="zh-CN"/>
              </w:rPr>
              <w:t>R</w:t>
            </w:r>
            <w:r>
              <w:rPr>
                <w:rFonts w:hint="eastAsia" w:ascii="Times New Roman" w:hAnsi="Times New Roman" w:eastAsia="Times New Roman"/>
                <w:color w:val="000000"/>
                <w:sz w:val="16"/>
              </w:rPr>
              <w:t xml:space="preserve">eproducible </w:t>
            </w:r>
            <w:r>
              <w:rPr>
                <w:rFonts w:hint="eastAsia" w:ascii="Times New Roman" w:hAnsi="Times New Roman" w:eastAsia="宋体"/>
                <w:color w:val="000000"/>
                <w:sz w:val="16"/>
                <w:lang w:val="en-US" w:eastAsia="zh-CN"/>
              </w:rPr>
              <w:t>C</w:t>
            </w:r>
            <w:r>
              <w:rPr>
                <w:rFonts w:hint="eastAsia" w:ascii="Times New Roman" w:hAnsi="Times New Roman" w:eastAsia="Times New Roman"/>
                <w:color w:val="000000"/>
                <w:sz w:val="16"/>
              </w:rPr>
              <w:t>apsule</w:t>
            </w:r>
          </w:p>
        </w:tc>
        <w:tc>
          <w:tcPr>
            <w:tcW w:w="5021" w:type="dxa"/>
            <w:tcBorders>
              <w:top w:val="nil"/>
              <w:left w:val="nil"/>
              <w:bottom w:val="nil"/>
              <w:right w:val="nil"/>
            </w:tcBorders>
            <w:shd w:val="clear" w:color="auto" w:fill="FFFFFF"/>
            <w:vAlign w:val="center"/>
          </w:tcPr>
          <w:p w14:paraId="6F985118">
            <w:pPr>
              <w:jc w:val="left"/>
              <w:rPr>
                <w:rFonts w:ascii="Times New Roman" w:hAnsi="Times New Roman" w:eastAsia="Times New Roman"/>
                <w:color w:val="000000"/>
                <w:sz w:val="16"/>
              </w:rPr>
            </w:pPr>
            <w:r>
              <w:rPr>
                <w:rFonts w:hint="eastAsia" w:ascii="Times New Roman" w:hAnsi="Times New Roman" w:eastAsia="Times New Roman"/>
                <w:color w:val="000000"/>
                <w:sz w:val="16"/>
              </w:rPr>
              <w:t>Not available</w:t>
            </w:r>
          </w:p>
        </w:tc>
      </w:tr>
      <w:tr w14:paraId="1F78B49D">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64D36705">
            <w:pPr>
              <w:jc w:val="left"/>
              <w:rPr>
                <w:rFonts w:ascii="Times New Roman" w:hAnsi="Times New Roman" w:eastAsia="宋体"/>
                <w:color w:val="000000"/>
                <w:sz w:val="16"/>
              </w:rPr>
            </w:pPr>
            <w:r>
              <w:rPr>
                <w:rFonts w:hint="eastAsia" w:ascii="Times New Roman" w:hAnsi="Times New Roman" w:eastAsia="宋体"/>
                <w:color w:val="000000"/>
                <w:sz w:val="16"/>
              </w:rPr>
              <w:t>C4</w:t>
            </w:r>
          </w:p>
        </w:tc>
        <w:tc>
          <w:tcPr>
            <w:tcW w:w="2932" w:type="dxa"/>
            <w:tcBorders>
              <w:top w:val="nil"/>
              <w:left w:val="nil"/>
              <w:bottom w:val="nil"/>
              <w:right w:val="nil"/>
            </w:tcBorders>
            <w:shd w:val="clear" w:color="auto" w:fill="FFFFFF"/>
            <w:vAlign w:val="center"/>
          </w:tcPr>
          <w:p w14:paraId="1D240BA0">
            <w:pPr>
              <w:jc w:val="left"/>
              <w:rPr>
                <w:rFonts w:hint="eastAsia"/>
                <w:color w:val="000000"/>
              </w:rPr>
            </w:pPr>
            <w:r>
              <w:rPr>
                <w:rFonts w:ascii="Times New Roman" w:hAnsi="Times New Roman" w:eastAsia="Times New Roman"/>
                <w:color w:val="000000"/>
                <w:sz w:val="16"/>
              </w:rPr>
              <w:t>Legal Code License</w:t>
            </w:r>
          </w:p>
        </w:tc>
        <w:tc>
          <w:tcPr>
            <w:tcW w:w="5021" w:type="dxa"/>
            <w:tcBorders>
              <w:top w:val="nil"/>
              <w:left w:val="nil"/>
              <w:bottom w:val="nil"/>
              <w:right w:val="nil"/>
            </w:tcBorders>
            <w:shd w:val="clear" w:color="auto" w:fill="FFFFFF"/>
            <w:vAlign w:val="center"/>
          </w:tcPr>
          <w:p w14:paraId="0ADEC6AE">
            <w:pPr>
              <w:jc w:val="left"/>
              <w:rPr>
                <w:rFonts w:hint="eastAsia"/>
                <w:color w:val="000000"/>
              </w:rPr>
            </w:pPr>
            <w:r>
              <w:rPr>
                <w:rFonts w:ascii="Times New Roman" w:hAnsi="Times New Roman" w:eastAsia="Times New Roman"/>
                <w:color w:val="000000"/>
                <w:sz w:val="16"/>
              </w:rPr>
              <w:t>MIT License</w:t>
            </w:r>
          </w:p>
        </w:tc>
      </w:tr>
      <w:tr w14:paraId="49F1CB17">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74B5B5BC">
            <w:pPr>
              <w:jc w:val="left"/>
              <w:rPr>
                <w:rFonts w:ascii="Times New Roman" w:hAnsi="Times New Roman" w:eastAsia="宋体"/>
                <w:color w:val="000000"/>
                <w:sz w:val="16"/>
              </w:rPr>
            </w:pPr>
            <w:r>
              <w:rPr>
                <w:rFonts w:hint="eastAsia" w:ascii="Times New Roman" w:hAnsi="Times New Roman" w:eastAsia="宋体"/>
                <w:color w:val="000000"/>
                <w:sz w:val="16"/>
              </w:rPr>
              <w:t>C5</w:t>
            </w:r>
          </w:p>
        </w:tc>
        <w:tc>
          <w:tcPr>
            <w:tcW w:w="2932" w:type="dxa"/>
            <w:tcBorders>
              <w:top w:val="nil"/>
              <w:left w:val="nil"/>
              <w:bottom w:val="nil"/>
              <w:right w:val="nil"/>
            </w:tcBorders>
            <w:shd w:val="clear" w:color="auto" w:fill="FFFFFF"/>
            <w:vAlign w:val="center"/>
          </w:tcPr>
          <w:p w14:paraId="7A09F12B">
            <w:pPr>
              <w:jc w:val="left"/>
              <w:rPr>
                <w:rFonts w:hint="eastAsia"/>
                <w:color w:val="000000"/>
              </w:rPr>
            </w:pPr>
            <w:r>
              <w:rPr>
                <w:rFonts w:ascii="Times New Roman" w:hAnsi="Times New Roman" w:eastAsia="Times New Roman"/>
                <w:color w:val="000000"/>
                <w:sz w:val="16"/>
              </w:rPr>
              <w:t>Code versioning system used</w:t>
            </w:r>
          </w:p>
        </w:tc>
        <w:tc>
          <w:tcPr>
            <w:tcW w:w="5021" w:type="dxa"/>
            <w:tcBorders>
              <w:top w:val="nil"/>
              <w:left w:val="nil"/>
              <w:bottom w:val="nil"/>
              <w:right w:val="nil"/>
            </w:tcBorders>
            <w:shd w:val="clear" w:color="auto" w:fill="FFFFFF"/>
            <w:vAlign w:val="center"/>
          </w:tcPr>
          <w:p w14:paraId="6A75F2D5">
            <w:pPr>
              <w:jc w:val="left"/>
              <w:rPr>
                <w:rFonts w:hint="eastAsia"/>
                <w:color w:val="000000"/>
              </w:rPr>
            </w:pPr>
            <w:r>
              <w:rPr>
                <w:rFonts w:ascii="Times New Roman" w:hAnsi="Times New Roman" w:eastAsia="Times New Roman"/>
                <w:color w:val="000000"/>
                <w:sz w:val="16"/>
              </w:rPr>
              <w:t>Git</w:t>
            </w:r>
          </w:p>
        </w:tc>
      </w:tr>
      <w:tr w14:paraId="20DCD8AF">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5C0918E8">
            <w:pPr>
              <w:jc w:val="left"/>
              <w:rPr>
                <w:rFonts w:ascii="Times New Roman" w:hAnsi="Times New Roman" w:eastAsia="宋体"/>
                <w:color w:val="000000"/>
                <w:sz w:val="16"/>
              </w:rPr>
            </w:pPr>
            <w:r>
              <w:rPr>
                <w:rFonts w:hint="eastAsia" w:ascii="Times New Roman" w:hAnsi="Times New Roman" w:eastAsia="宋体"/>
                <w:color w:val="000000"/>
                <w:sz w:val="16"/>
              </w:rPr>
              <w:t>C6</w:t>
            </w:r>
          </w:p>
        </w:tc>
        <w:tc>
          <w:tcPr>
            <w:tcW w:w="2932" w:type="dxa"/>
            <w:tcBorders>
              <w:top w:val="nil"/>
              <w:left w:val="nil"/>
              <w:bottom w:val="nil"/>
              <w:right w:val="nil"/>
            </w:tcBorders>
            <w:shd w:val="clear" w:color="auto" w:fill="FFFFFF"/>
            <w:vAlign w:val="center"/>
          </w:tcPr>
          <w:p w14:paraId="640D572B">
            <w:pPr>
              <w:jc w:val="left"/>
              <w:rPr>
                <w:rFonts w:hint="eastAsia"/>
                <w:color w:val="000000"/>
              </w:rPr>
            </w:pPr>
            <w:r>
              <w:rPr>
                <w:rFonts w:ascii="Times New Roman" w:hAnsi="Times New Roman" w:eastAsia="Times New Roman"/>
                <w:color w:val="000000"/>
                <w:sz w:val="16"/>
              </w:rPr>
              <w:t>Software code languages, tools, and services used</w:t>
            </w:r>
          </w:p>
        </w:tc>
        <w:tc>
          <w:tcPr>
            <w:tcW w:w="5021" w:type="dxa"/>
            <w:tcBorders>
              <w:top w:val="nil"/>
              <w:left w:val="nil"/>
              <w:bottom w:val="nil"/>
              <w:right w:val="nil"/>
            </w:tcBorders>
            <w:shd w:val="clear" w:color="auto" w:fill="FFFFFF"/>
            <w:vAlign w:val="center"/>
          </w:tcPr>
          <w:p w14:paraId="6ED5F31F">
            <w:pPr>
              <w:jc w:val="left"/>
              <w:rPr>
                <w:rFonts w:hint="eastAsia"/>
                <w:color w:val="000000"/>
              </w:rPr>
            </w:pPr>
            <w:r>
              <w:rPr>
                <w:rFonts w:ascii="Times New Roman" w:hAnsi="Times New Roman" w:eastAsia="Times New Roman"/>
                <w:color w:val="000000"/>
                <w:sz w:val="16"/>
              </w:rPr>
              <w:t>Python 3.11+, TypeScript, Vue 3, FastAPI, PostgreSQL, Redis, WebSocket, Node.js 20+</w:t>
            </w:r>
          </w:p>
        </w:tc>
      </w:tr>
      <w:tr w14:paraId="77A373A3">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5371851E">
            <w:pPr>
              <w:jc w:val="left"/>
              <w:rPr>
                <w:rFonts w:ascii="Times New Roman" w:hAnsi="Times New Roman" w:eastAsia="宋体"/>
                <w:color w:val="000000"/>
                <w:sz w:val="16"/>
              </w:rPr>
            </w:pPr>
            <w:r>
              <w:rPr>
                <w:rFonts w:hint="eastAsia" w:ascii="Times New Roman" w:hAnsi="Times New Roman" w:eastAsia="宋体"/>
                <w:color w:val="000000"/>
                <w:sz w:val="16"/>
              </w:rPr>
              <w:t>C7</w:t>
            </w:r>
          </w:p>
        </w:tc>
        <w:tc>
          <w:tcPr>
            <w:tcW w:w="2932" w:type="dxa"/>
            <w:tcBorders>
              <w:top w:val="nil"/>
              <w:left w:val="nil"/>
              <w:bottom w:val="nil"/>
              <w:right w:val="nil"/>
            </w:tcBorders>
            <w:shd w:val="clear" w:color="auto" w:fill="FFFFFF"/>
            <w:vAlign w:val="center"/>
          </w:tcPr>
          <w:p w14:paraId="450CBE0B">
            <w:pPr>
              <w:jc w:val="left"/>
              <w:rPr>
                <w:rFonts w:hint="eastAsia"/>
                <w:color w:val="000000"/>
              </w:rPr>
            </w:pPr>
            <w:r>
              <w:rPr>
                <w:rFonts w:ascii="Times New Roman" w:hAnsi="Times New Roman" w:eastAsia="Times New Roman"/>
                <w:color w:val="000000"/>
                <w:sz w:val="16"/>
              </w:rPr>
              <w:t xml:space="preserve">Compilation requirements, operating environments </w:t>
            </w:r>
            <w:r>
              <w:rPr>
                <w:rFonts w:hint="eastAsia" w:ascii="Times New Roman" w:hAnsi="Times New Roman" w:eastAsia="Times New Roman"/>
                <w:color w:val="000000"/>
                <w:sz w:val="16"/>
              </w:rPr>
              <w:t xml:space="preserve">&amp; </w:t>
            </w:r>
            <w:r>
              <w:rPr>
                <w:rFonts w:ascii="Times New Roman" w:hAnsi="Times New Roman" w:eastAsia="Times New Roman"/>
                <w:color w:val="000000"/>
                <w:sz w:val="16"/>
              </w:rPr>
              <w:t>dependencies</w:t>
            </w:r>
          </w:p>
        </w:tc>
        <w:tc>
          <w:tcPr>
            <w:tcW w:w="5021" w:type="dxa"/>
            <w:tcBorders>
              <w:top w:val="nil"/>
              <w:left w:val="nil"/>
              <w:bottom w:val="nil"/>
              <w:right w:val="nil"/>
            </w:tcBorders>
            <w:shd w:val="clear" w:color="auto" w:fill="FFFFFF"/>
            <w:vAlign w:val="center"/>
          </w:tcPr>
          <w:p w14:paraId="14E3864A">
            <w:pPr>
              <w:jc w:val="left"/>
              <w:rPr>
                <w:rFonts w:hint="eastAsia"/>
                <w:color w:val="000000"/>
              </w:rPr>
            </w:pPr>
            <w:r>
              <w:rPr>
                <w:rFonts w:hint="eastAsia" w:ascii="Times New Roman" w:hAnsi="Times New Roman" w:eastAsia="Times New Roman"/>
                <w:color w:val="000000"/>
                <w:sz w:val="16"/>
              </w:rPr>
              <w:t>Full interactive system: Windows 10/11 or Linux; Python 3.11+; Node.js 20+; PostgreSQL 15+; Redis 7+; FastAPI backend; Vue 3 frontend;</w:t>
            </w:r>
            <w:r>
              <w:rPr>
                <w:rFonts w:hint="eastAsia" w:ascii="Times New Roman" w:hAnsi="Times New Roman" w:eastAsia="宋体"/>
                <w:color w:val="000000"/>
                <w:sz w:val="16"/>
                <w:lang w:val="en-US" w:eastAsia="zh-CN"/>
              </w:rPr>
              <w:t xml:space="preserve"> </w:t>
            </w:r>
            <w:r>
              <w:rPr>
                <w:rFonts w:hint="eastAsia" w:ascii="Times New Roman" w:hAnsi="Times New Roman" w:eastAsia="Times New Roman"/>
                <w:color w:val="000000"/>
                <w:sz w:val="16"/>
              </w:rPr>
              <w:t>Experiment-only mode: fixed-seed scripts under experiments/ can run in Python-only mode without PostgreSQL/Redis/frontend.</w:t>
            </w:r>
          </w:p>
        </w:tc>
      </w:tr>
      <w:tr w14:paraId="3867FF74">
        <w:tblPrEx>
          <w:tblCellMar>
            <w:top w:w="0" w:type="dxa"/>
            <w:left w:w="108" w:type="dxa"/>
            <w:bottom w:w="0" w:type="dxa"/>
            <w:right w:w="108" w:type="dxa"/>
          </w:tblCellMar>
        </w:tblPrEx>
        <w:trPr>
          <w:jc w:val="center"/>
        </w:trPr>
        <w:tc>
          <w:tcPr>
            <w:tcW w:w="927" w:type="dxa"/>
            <w:tcBorders>
              <w:top w:val="nil"/>
              <w:left w:val="nil"/>
              <w:bottom w:val="nil"/>
              <w:right w:val="nil"/>
            </w:tcBorders>
            <w:shd w:val="clear" w:color="auto" w:fill="FFFFFF"/>
            <w:vAlign w:val="center"/>
          </w:tcPr>
          <w:p w14:paraId="54981B3E">
            <w:pPr>
              <w:jc w:val="left"/>
              <w:rPr>
                <w:rFonts w:ascii="Times New Roman" w:hAnsi="Times New Roman" w:eastAsia="宋体"/>
                <w:color w:val="000000"/>
                <w:sz w:val="16"/>
              </w:rPr>
            </w:pPr>
            <w:r>
              <w:rPr>
                <w:rFonts w:hint="eastAsia" w:ascii="Times New Roman" w:hAnsi="Times New Roman" w:eastAsia="宋体"/>
                <w:color w:val="000000"/>
                <w:sz w:val="16"/>
              </w:rPr>
              <w:t>C8</w:t>
            </w:r>
          </w:p>
        </w:tc>
        <w:tc>
          <w:tcPr>
            <w:tcW w:w="2932" w:type="dxa"/>
            <w:tcBorders>
              <w:top w:val="nil"/>
              <w:left w:val="nil"/>
              <w:bottom w:val="nil"/>
              <w:right w:val="nil"/>
            </w:tcBorders>
            <w:shd w:val="clear" w:color="auto" w:fill="FFFFFF"/>
            <w:vAlign w:val="center"/>
          </w:tcPr>
          <w:p w14:paraId="6A59EA12">
            <w:pPr>
              <w:jc w:val="left"/>
              <w:rPr>
                <w:rFonts w:hint="eastAsia"/>
                <w:color w:val="000000"/>
              </w:rPr>
            </w:pPr>
            <w:r>
              <w:rPr>
                <w:rFonts w:hint="eastAsia" w:ascii="Times New Roman" w:hAnsi="Times New Roman" w:eastAsia="宋体"/>
                <w:color w:val="000000"/>
                <w:sz w:val="16"/>
                <w:lang w:val="en-US" w:eastAsia="zh-CN"/>
              </w:rPr>
              <w:t>I</w:t>
            </w:r>
            <w:r>
              <w:rPr>
                <w:rFonts w:hint="eastAsia" w:ascii="Times New Roman" w:hAnsi="Times New Roman" w:eastAsia="Times New Roman"/>
                <w:color w:val="000000"/>
                <w:sz w:val="16"/>
              </w:rPr>
              <w:t>f available Link to developer documentation/manual</w:t>
            </w:r>
          </w:p>
        </w:tc>
        <w:tc>
          <w:tcPr>
            <w:tcW w:w="5021" w:type="dxa"/>
            <w:tcBorders>
              <w:top w:val="nil"/>
              <w:left w:val="nil"/>
              <w:bottom w:val="nil"/>
              <w:right w:val="nil"/>
            </w:tcBorders>
            <w:shd w:val="clear" w:color="auto" w:fill="FFFFFF"/>
            <w:vAlign w:val="center"/>
          </w:tcPr>
          <w:p w14:paraId="1675987F">
            <w:pPr>
              <w:jc w:val="left"/>
              <w:rPr>
                <w:rFonts w:hint="eastAsia"/>
                <w:color w:val="000000"/>
              </w:rPr>
            </w:pPr>
            <w:r>
              <w:rPr>
                <w:rFonts w:hint="eastAsia" w:ascii="Times New Roman" w:hAnsi="Times New Roman" w:eastAsia="Times New Roman"/>
                <w:color w:val="000000"/>
                <w:sz w:val="16"/>
              </w:rPr>
              <w:t>Included in README.md and the repository documentation: docs/DEPLOYMENT.md, docs/EXPERIMENTS.md, and docs/softwarex_submission_boundary.md.</w:t>
            </w:r>
          </w:p>
        </w:tc>
      </w:tr>
      <w:tr w14:paraId="119B492E">
        <w:tblPrEx>
          <w:tblCellMar>
            <w:top w:w="0" w:type="dxa"/>
            <w:left w:w="108" w:type="dxa"/>
            <w:bottom w:w="0" w:type="dxa"/>
            <w:right w:w="108" w:type="dxa"/>
          </w:tblCellMar>
        </w:tblPrEx>
        <w:trPr>
          <w:jc w:val="center"/>
        </w:trPr>
        <w:tc>
          <w:tcPr>
            <w:tcW w:w="927" w:type="dxa"/>
            <w:tcBorders>
              <w:top w:val="nil"/>
              <w:left w:val="nil"/>
              <w:bottom w:val="single" w:color="000000" w:sz="12" w:space="0"/>
              <w:right w:val="nil"/>
            </w:tcBorders>
            <w:shd w:val="clear" w:color="auto" w:fill="FFFFFF"/>
            <w:vAlign w:val="center"/>
          </w:tcPr>
          <w:p w14:paraId="08BFCB47">
            <w:pPr>
              <w:jc w:val="left"/>
              <w:rPr>
                <w:rFonts w:ascii="Times New Roman" w:hAnsi="Times New Roman" w:eastAsia="宋体"/>
                <w:color w:val="000000"/>
                <w:sz w:val="16"/>
              </w:rPr>
            </w:pPr>
            <w:r>
              <w:rPr>
                <w:rFonts w:hint="eastAsia" w:ascii="Times New Roman" w:hAnsi="Times New Roman" w:eastAsia="宋体"/>
                <w:color w:val="000000"/>
                <w:sz w:val="16"/>
              </w:rPr>
              <w:t>C9</w:t>
            </w:r>
          </w:p>
        </w:tc>
        <w:tc>
          <w:tcPr>
            <w:tcW w:w="2932" w:type="dxa"/>
            <w:tcBorders>
              <w:top w:val="nil"/>
              <w:left w:val="nil"/>
              <w:bottom w:val="single" w:color="000000" w:sz="12" w:space="0"/>
              <w:right w:val="nil"/>
            </w:tcBorders>
            <w:shd w:val="clear" w:color="auto" w:fill="FFFFFF"/>
            <w:vAlign w:val="center"/>
          </w:tcPr>
          <w:p w14:paraId="40E616DE">
            <w:pPr>
              <w:jc w:val="left"/>
              <w:rPr>
                <w:rFonts w:hint="default" w:eastAsia="宋体"/>
                <w:color w:val="000000"/>
                <w:lang w:val="en-US" w:eastAsia="zh-CN"/>
              </w:rPr>
            </w:pPr>
            <w:r>
              <w:rPr>
                <w:rFonts w:ascii="Times New Roman" w:hAnsi="Times New Roman" w:eastAsia="Times New Roman"/>
                <w:color w:val="000000"/>
                <w:sz w:val="16"/>
              </w:rPr>
              <w:t>Support email</w:t>
            </w:r>
            <w:r>
              <w:rPr>
                <w:rFonts w:hint="eastAsia" w:ascii="Times New Roman" w:hAnsi="Times New Roman" w:eastAsia="宋体"/>
                <w:color w:val="000000"/>
                <w:sz w:val="16"/>
                <w:lang w:val="en-US" w:eastAsia="zh-CN"/>
              </w:rPr>
              <w:t xml:space="preserve"> for questions</w:t>
            </w:r>
          </w:p>
        </w:tc>
        <w:tc>
          <w:tcPr>
            <w:tcW w:w="5021" w:type="dxa"/>
            <w:tcBorders>
              <w:top w:val="nil"/>
              <w:left w:val="nil"/>
              <w:bottom w:val="single" w:color="000000" w:sz="12" w:space="0"/>
              <w:right w:val="nil"/>
            </w:tcBorders>
            <w:shd w:val="clear" w:color="auto" w:fill="FFFFFF"/>
            <w:vAlign w:val="center"/>
          </w:tcPr>
          <w:p w14:paraId="560825B4">
            <w:pPr>
              <w:jc w:val="left"/>
              <w:rPr>
                <w:rFonts w:hint="eastAsia"/>
                <w:color w:val="000000"/>
              </w:rPr>
            </w:pPr>
            <w:r>
              <w:rPr>
                <w:rFonts w:ascii="Times New Roman" w:hAnsi="Times New Roman" w:eastAsia="Times New Roman"/>
                <w:color w:val="000000"/>
                <w:sz w:val="16"/>
              </w:rPr>
              <w:t>3029264402@qq.com</w:t>
            </w:r>
          </w:p>
        </w:tc>
      </w:tr>
    </w:tbl>
    <w:p w14:paraId="0D531493">
      <w:pPr>
        <w:adjustRightInd w:val="0"/>
        <w:snapToGrid w:val="0"/>
        <w:spacing w:line="228" w:lineRule="auto"/>
        <w:rPr>
          <w:rFonts w:ascii="Times New Roman" w:hAnsi="Times New Roman" w:cs="Times New Roman"/>
          <w:sz w:val="20"/>
          <w:szCs w:val="20"/>
        </w:rPr>
      </w:pPr>
    </w:p>
    <w:p w14:paraId="4748FAFB">
      <w:pPr>
        <w:adjustRightInd w:val="0"/>
        <w:snapToGrid w:val="0"/>
        <w:spacing w:before="120" w:after="120" w:line="228" w:lineRule="auto"/>
        <w:rPr>
          <w:rFonts w:ascii="Times New Roman" w:hAnsi="Times New Roman" w:cs="Times New Roman"/>
          <w:b/>
          <w:sz w:val="20"/>
          <w:szCs w:val="20"/>
        </w:rPr>
      </w:pPr>
      <w:r>
        <w:rPr>
          <w:rFonts w:ascii="Times New Roman" w:hAnsi="Times New Roman" w:cs="Times New Roman"/>
          <w:b/>
          <w:sz w:val="20"/>
          <w:szCs w:val="20"/>
        </w:rPr>
        <w:t xml:space="preserve">1  </w:t>
      </w:r>
      <w:r>
        <w:rPr>
          <w:rFonts w:hint="eastAsia" w:ascii="Times New Roman" w:hAnsi="Times New Roman" w:cs="Times New Roman"/>
          <w:b/>
          <w:sz w:val="20"/>
          <w:szCs w:val="20"/>
        </w:rPr>
        <w:t xml:space="preserve"> Motivation and significance</w:t>
      </w:r>
    </w:p>
    <w:p w14:paraId="55D15622">
      <w:pPr>
        <w:adjustRightInd w:val="0"/>
        <w:snapToGrid w:val="0"/>
        <w:spacing w:before="160" w:after="80" w:line="228" w:lineRule="auto"/>
        <w:rPr>
          <w:rFonts w:ascii="Times New Roman" w:hAnsi="Times New Roman" w:cs="Times New Roman"/>
          <w:sz w:val="20"/>
          <w:szCs w:val="20"/>
        </w:rPr>
      </w:pPr>
      <w:r>
        <w:rPr>
          <w:rFonts w:ascii="Times New Roman" w:hAnsi="Times New Roman" w:cs="Times New Roman"/>
          <w:sz w:val="20"/>
          <w:szCs w:val="20"/>
        </w:rPr>
        <w:t xml:space="preserve">Most existing career planning systems remain in a static recommendation paradigm </w:t>
      </w:r>
      <w:r>
        <w:rPr>
          <w:rFonts w:ascii="Times New Roman" w:hAnsi="Times New Roman" w:cs="Times New Roman"/>
          <w:sz w:val="20"/>
          <w:szCs w:val="20"/>
          <w:vertAlign w:val="superscript"/>
        </w:rPr>
        <w:t>[1-2]</w:t>
      </w:r>
      <w:r>
        <w:rPr>
          <w:rFonts w:ascii="Times New Roman" w:hAnsi="Times New Roman" w:cs="Times New Roman"/>
          <w:sz w:val="20"/>
          <w:szCs w:val="20"/>
        </w:rPr>
        <w:t xml:space="preserve">: users complete a questionnaire, provide personal information, and subsequently receive job rankings or reports. While this approach is useful for screening, it provides limited support for experiential validation </w:t>
      </w:r>
      <w:r>
        <w:rPr>
          <w:rFonts w:ascii="Times New Roman" w:hAnsi="Times New Roman" w:cs="Times New Roman"/>
          <w:sz w:val="20"/>
          <w:szCs w:val="20"/>
          <w:vertAlign w:val="superscript"/>
        </w:rPr>
        <w:t>[3-4]</w:t>
      </w:r>
      <w:r>
        <w:rPr>
          <w:rFonts w:ascii="Times New Roman" w:hAnsi="Times New Roman" w:cs="Times New Roman"/>
          <w:sz w:val="20"/>
          <w:szCs w:val="20"/>
        </w:rPr>
        <w:t>. In actual decision-making scenarios, users not only want to know "which job theoretically suits me," but also aspire to understand daily work content, team interactions, and workplace pace, thereby forming authentic awareness before committing to a direction.</w:t>
      </w:r>
    </w:p>
    <w:p w14:paraId="5AE2463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This work extracts the virtual company component from a larger-scale career planning platform and encapsulates it as an independent software artifact. This contribution is not the entire surrounding platform, but the direct implementation of the core simulation declared by the software: a personality-driven organizational environment wherein agents can work, socialize, participate in events, accumulate memories, and evolve across consecutive simulation ticks.</w:t>
      </w:r>
    </w:p>
    <w:p w14:paraId="35ACB374">
      <w:pPr>
        <w:adjustRightInd w:val="0"/>
        <w:snapToGrid w:val="0"/>
        <w:spacing w:line="228" w:lineRule="auto"/>
        <w:rPr>
          <w:rFonts w:ascii="Times New Roman" w:hAnsi="Times New Roman" w:cs="Times New Roman"/>
          <w:sz w:val="20"/>
          <w:szCs w:val="20"/>
        </w:rPr>
      </w:pPr>
      <w:r>
        <w:rPr>
          <w:rFonts w:hint="eastAsia" w:ascii="Times New Roman" w:hAnsi="Times New Roman" w:cs="Times New Roman"/>
          <w:sz w:val="20"/>
          <w:szCs w:val="20"/>
        </w:rPr>
        <w:t>The design prioritizes three requirements: inspectable parameters (not opaque prompts), LLM-independent operation (for reproducibility), and runtime inspectability via APIs and fixed-seed scripts.</w:t>
      </w:r>
    </w:p>
    <w:p w14:paraId="3D6D2C34">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Under these requirements, the simulator is not merely an application module, but a reusable experimental environment for multi-agent personality-conditioned behavior in organizational scenarios. To our knowledge, no publicly available research software package currently combines explicit MBTI personality parameterization</w:t>
      </w:r>
      <w:r>
        <w:rPr>
          <w:rFonts w:ascii="Times New Roman" w:hAnsi="Times New Roman" w:cs="Times New Roman"/>
          <w:sz w:val="20"/>
          <w:szCs w:val="20"/>
          <w:vertAlign w:val="superscript"/>
        </w:rPr>
        <w:t>[5]</w:t>
      </w:r>
      <w:r>
        <w:rPr>
          <w:rFonts w:ascii="Times New Roman" w:hAnsi="Times New Roman" w:cs="Times New Roman"/>
          <w:sz w:val="20"/>
          <w:szCs w:val="20"/>
        </w:rPr>
        <w:t>, organizational multi-agent simulation</w:t>
      </w:r>
      <w:r>
        <w:rPr>
          <w:rFonts w:ascii="Times New Roman" w:hAnsi="Times New Roman" w:cs="Times New Roman"/>
          <w:sz w:val="20"/>
          <w:szCs w:val="20"/>
          <w:vertAlign w:val="superscript"/>
        </w:rPr>
        <w:t>[6]</w:t>
      </w:r>
      <w:r>
        <w:rPr>
          <w:rFonts w:ascii="Times New Roman" w:hAnsi="Times New Roman" w:cs="Times New Roman"/>
          <w:sz w:val="20"/>
          <w:szCs w:val="20"/>
        </w:rPr>
        <w:t>, and virtual workplace interactions oriented toward career exploration while forming a single reproducible system. This claim is more precise than “no virtual workplace or digital twin work exists”—relevant digital twin research does exist in manufacturing</w:t>
      </w:r>
      <w:r>
        <w:rPr>
          <w:rFonts w:ascii="Times New Roman" w:hAnsi="Times New Roman" w:cs="Times New Roman"/>
          <w:sz w:val="20"/>
          <w:szCs w:val="20"/>
          <w:vertAlign w:val="superscript"/>
        </w:rPr>
        <w:t>[7]</w:t>
      </w:r>
      <w:r>
        <w:rPr>
          <w:rFonts w:ascii="Times New Roman" w:hAnsi="Times New Roman" w:cs="Times New Roman"/>
          <w:sz w:val="20"/>
          <w:szCs w:val="20"/>
        </w:rPr>
        <w:t>, laboratory training</w:t>
      </w:r>
      <w:r>
        <w:rPr>
          <w:rFonts w:ascii="Times New Roman" w:hAnsi="Times New Roman" w:cs="Times New Roman"/>
          <w:sz w:val="20"/>
          <w:szCs w:val="20"/>
          <w:vertAlign w:val="superscript"/>
        </w:rPr>
        <w:t>[8]</w:t>
      </w:r>
      <w:r>
        <w:rPr>
          <w:rFonts w:ascii="Times New Roman" w:hAnsi="Times New Roman" w:cs="Times New Roman"/>
          <w:sz w:val="20"/>
          <w:szCs w:val="20"/>
        </w:rPr>
        <w:t>, and workforce decision support</w:t>
      </w:r>
      <w:r>
        <w:rPr>
          <w:rFonts w:ascii="Times New Roman" w:hAnsi="Times New Roman" w:cs="Times New Roman"/>
          <w:sz w:val="20"/>
          <w:szCs w:val="20"/>
          <w:vertAlign w:val="superscript"/>
        </w:rPr>
        <w:t>[9]</w:t>
      </w:r>
      <w:r>
        <w:rPr>
          <w:rFonts w:ascii="Times New Roman" w:hAnsi="Times New Roman" w:cs="Times New Roman"/>
          <w:sz w:val="20"/>
          <w:szCs w:val="20"/>
        </w:rPr>
        <w:t>, but the specific combination this paper focuses on remains scarce.</w:t>
      </w:r>
    </w:p>
    <w:p w14:paraId="2045902C">
      <w:pPr>
        <w:adjustRightInd w:val="0"/>
        <w:snapToGrid w:val="0"/>
        <w:spacing w:line="228" w:lineRule="auto"/>
        <w:rPr>
          <w:rFonts w:ascii="Times New Roman" w:hAnsi="Times New Roman" w:cs="Times New Roman"/>
          <w:sz w:val="20"/>
          <w:szCs w:val="20"/>
        </w:rPr>
      </w:pPr>
      <w:r>
        <w:rPr>
          <w:rFonts w:hint="eastAsia" w:ascii="Times New Roman" w:hAnsi="Times New Roman" w:cs="Times New Roman"/>
          <w:sz w:val="20"/>
          <w:szCs w:val="20"/>
        </w:rPr>
        <w:t>In a typical session, a user creates a personal agent by selecting an MBTI type and initial attributes, then starts the simulation. The three-floor virtual office populates automatically with 16 pre-seeded NPC agents covering all MBTI types. The user observes real-time agent behaviors—working, chatting, attending meetings, resting—through the browser-based frontend, and can inspect any agent's decision log, personality trace, and social relationships via diagnostic panels. Experimental users can alternatively run the deterministic scripts in the experiments/ directory to reproduce the validation results reported in this paper without launching the full frontend.</w:t>
      </w:r>
    </w:p>
    <w:p w14:paraId="27B8B430">
      <w:pPr>
        <w:adjustRightInd w:val="0"/>
        <w:snapToGrid w:val="0"/>
        <w:spacing w:before="120" w:after="120" w:line="228" w:lineRule="auto"/>
        <w:rPr>
          <w:rFonts w:ascii="Times New Roman" w:hAnsi="Times New Roman" w:cs="Times New Roman"/>
          <w:b/>
          <w:sz w:val="20"/>
          <w:szCs w:val="20"/>
        </w:rPr>
      </w:pPr>
      <w:r>
        <w:rPr>
          <w:rFonts w:ascii="Times New Roman" w:hAnsi="Times New Roman" w:cs="Times New Roman"/>
          <w:b/>
          <w:sz w:val="20"/>
          <w:szCs w:val="20"/>
        </w:rPr>
        <w:t>2  Software</w:t>
      </w:r>
      <w:r>
        <w:rPr>
          <w:rFonts w:hint="eastAsia" w:ascii="Times New Roman" w:hAnsi="Times New Roman" w:cs="Times New Roman"/>
          <w:b/>
          <w:sz w:val="20"/>
          <w:szCs w:val="20"/>
          <w:lang w:val="en-US" w:eastAsia="zh-CN"/>
        </w:rPr>
        <w:t xml:space="preserve"> d</w:t>
      </w:r>
      <w:r>
        <w:rPr>
          <w:rFonts w:ascii="Times New Roman" w:hAnsi="Times New Roman" w:cs="Times New Roman"/>
          <w:b/>
          <w:sz w:val="20"/>
          <w:szCs w:val="20"/>
        </w:rPr>
        <w:t>escription</w:t>
      </w:r>
    </w:p>
    <w:p w14:paraId="73E564DC">
      <w:pPr>
        <w:adjustRightInd w:val="0"/>
        <w:snapToGrid w:val="0"/>
        <w:spacing w:line="228" w:lineRule="auto"/>
        <w:rPr>
          <w:rFonts w:ascii="Times New Roman" w:hAnsi="Times New Roman" w:cs="Times New Roman"/>
          <w:b/>
          <w:sz w:val="20"/>
          <w:szCs w:val="20"/>
        </w:rPr>
      </w:pPr>
      <w:r>
        <w:rPr>
          <w:rFonts w:ascii="Times New Roman" w:hAnsi="Times New Roman" w:cs="Times New Roman"/>
          <w:b/>
          <w:sz w:val="20"/>
          <w:szCs w:val="20"/>
        </w:rPr>
        <w:t xml:space="preserve">2.1 Scope and </w:t>
      </w:r>
      <w:r>
        <w:rPr>
          <w:rFonts w:hint="eastAsia" w:ascii="Times New Roman" w:hAnsi="Times New Roman" w:cs="Times New Roman"/>
          <w:b/>
          <w:sz w:val="20"/>
          <w:szCs w:val="20"/>
          <w:lang w:val="en-US" w:eastAsia="zh-CN"/>
        </w:rPr>
        <w:t>s</w:t>
      </w:r>
      <w:r>
        <w:rPr>
          <w:rFonts w:ascii="Times New Roman" w:hAnsi="Times New Roman" w:cs="Times New Roman"/>
          <w:b/>
          <w:sz w:val="20"/>
          <w:szCs w:val="20"/>
        </w:rPr>
        <w:t xml:space="preserve">ubmission </w:t>
      </w:r>
      <w:r>
        <w:rPr>
          <w:rFonts w:hint="eastAsia" w:ascii="Times New Roman" w:hAnsi="Times New Roman" w:cs="Times New Roman"/>
          <w:b/>
          <w:sz w:val="20"/>
          <w:szCs w:val="20"/>
          <w:lang w:val="en-US" w:eastAsia="zh-CN"/>
        </w:rPr>
        <w:t>b</w:t>
      </w:r>
      <w:r>
        <w:rPr>
          <w:rFonts w:ascii="Times New Roman" w:hAnsi="Times New Roman" w:cs="Times New Roman"/>
          <w:b/>
          <w:sz w:val="20"/>
          <w:szCs w:val="20"/>
        </w:rPr>
        <w:t>oundaries</w:t>
      </w:r>
    </w:p>
    <w:p w14:paraId="425B3A71">
      <w:pPr>
        <w:adjustRightInd w:val="0"/>
        <w:snapToGrid w:val="0"/>
        <w:spacing w:line="228" w:lineRule="auto"/>
        <w:rPr>
          <w:rFonts w:hint="eastAsia" w:ascii="Times New Roman" w:hAnsi="Times New Roman" w:cs="Times New Roman" w:eastAsiaTheme="minorEastAsia"/>
          <w:sz w:val="20"/>
          <w:szCs w:val="20"/>
          <w:lang w:val="en-US" w:eastAsia="zh-CN"/>
        </w:rPr>
      </w:pPr>
      <w:r>
        <w:rPr>
          <w:rFonts w:ascii="Times New Roman" w:hAnsi="Times New Roman" w:cs="Times New Roman"/>
          <w:sz w:val="20"/>
          <w:szCs w:val="20"/>
        </w:rPr>
        <w:t>This software bridges the gap between static job recommendations and dynamic workplace simulation. The submission boundary is defined as the VirtualCompanySimulator and the minimal supporting services required for its operation, inspection, and validation. This boundary is narrower than a complete career planning platform, aiming to keep the artifact aligned with the actual software contribution. Therefore, the recommended public submission repository contains the simulation engine, minimal visualization frontend, simulation control and diagnostic APIs, deterministic experimental scripts, and machine-readable result files used in the paper. Figure 1 shows the design of the virtual company’s main interface.</w:t>
      </w:r>
      <w:r>
        <w:rPr>
          <w:rFonts w:hint="eastAsia" w:ascii="Times New Roman" w:hAnsi="Times New Roman" w:cs="Times New Roman"/>
          <w:sz w:val="20"/>
          <w:szCs w:val="20"/>
        </w:rPr>
        <w:t>Target users include researchers, career educators, and software engineers seeking hybrid simulation architectures.</w:t>
      </w:r>
      <w:r>
        <w:rPr>
          <w:rFonts w:hint="eastAsia" w:ascii="Times New Roman" w:hAnsi="Times New Roman" w:cs="Times New Roman"/>
          <w:sz w:val="20"/>
          <w:szCs w:val="20"/>
          <w:lang w:val="en-US" w:eastAsia="zh-CN"/>
        </w:rPr>
        <w:t xml:space="preserve"> For reproducibility, the package provides two execution paths: a full interactive stack (PostgreSQL, Redis, FastAPI backend, and Vue frontend) with a one-command Docker Compose workflow, and a lightweight Python-only path for fixed-seed experiment scripts.</w:t>
      </w:r>
    </w:p>
    <w:p w14:paraId="40DDD7E5">
      <w:pPr>
        <w:pStyle w:val="16"/>
        <w:numPr>
          <w:ilvl w:val="0"/>
          <w:numId w:val="0"/>
        </w:numPr>
        <w:tabs>
          <w:tab w:val="clear" w:pos="0"/>
        </w:tabs>
        <w:adjustRightInd w:val="0"/>
        <w:snapToGrid w:val="0"/>
        <w:spacing w:before="109" w:after="156"/>
        <w:rPr>
          <w:sz w:val="16"/>
          <w:szCs w:val="16"/>
        </w:rPr>
      </w:pPr>
      <w:r>
        <w:rPr>
          <w:rFonts w:ascii="宋体" w:hAnsi="宋体"/>
          <w:sz w:val="24"/>
        </w:rPr>
        <w:drawing>
          <wp:inline distT="0" distB="0" distL="114300" distR="114300">
            <wp:extent cx="5282565" cy="2539365"/>
            <wp:effectExtent l="0" t="0" r="635" b="635"/>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5"/>
                    <a:stretch>
                      <a:fillRect/>
                    </a:stretch>
                  </pic:blipFill>
                  <pic:spPr>
                    <a:xfrm>
                      <a:off x="0" y="0"/>
                      <a:ext cx="5282565" cy="2539365"/>
                    </a:xfrm>
                    <a:prstGeom prst="rect">
                      <a:avLst/>
                    </a:prstGeom>
                    <a:noFill/>
                    <a:ln w="9525">
                      <a:noFill/>
                    </a:ln>
                  </pic:spPr>
                </pic:pic>
              </a:graphicData>
            </a:graphic>
          </wp:inline>
        </w:drawing>
      </w:r>
    </w:p>
    <w:p w14:paraId="19B033AD">
      <w:pPr>
        <w:pStyle w:val="16"/>
        <w:numPr>
          <w:ilvl w:val="0"/>
          <w:numId w:val="0"/>
        </w:numPr>
        <w:tabs>
          <w:tab w:val="clear" w:pos="0"/>
        </w:tabs>
        <w:adjustRightInd w:val="0"/>
        <w:snapToGrid w:val="0"/>
        <w:spacing w:before="109" w:after="156"/>
        <w:rPr>
          <w:rFonts w:hint="default" w:ascii="Times New Roman" w:hAnsi="Times New Roman" w:cs="Times New Roman" w:eastAsiaTheme="minorEastAsia"/>
          <w:b w:val="0"/>
          <w:sz w:val="16"/>
          <w:szCs w:val="16"/>
        </w:rPr>
      </w:pPr>
      <w:r>
        <w:rPr>
          <w:rFonts w:hint="default" w:ascii="Times New Roman" w:hAnsi="Times New Roman" w:cs="Times New Roman" w:eastAsiaTheme="minorEastAsia"/>
          <w:b/>
          <w:bCs/>
          <w:sz w:val="16"/>
          <w:szCs w:val="16"/>
        </w:rPr>
        <w:t xml:space="preserve">Fig. 1. </w:t>
      </w:r>
      <w:r>
        <w:rPr>
          <w:rFonts w:hint="default" w:ascii="Times New Roman" w:hAnsi="Times New Roman" w:cs="Times New Roman" w:eastAsiaTheme="minorEastAsia"/>
          <w:b w:val="0"/>
          <w:sz w:val="16"/>
          <w:szCs w:val="16"/>
        </w:rPr>
        <w:t xml:space="preserve"> Screenshot of the Virtual Company's </w:t>
      </w:r>
      <w:r>
        <w:rPr>
          <w:rFonts w:hint="eastAsia" w:cs="Times New Roman" w:eastAsiaTheme="minorEastAsia"/>
          <w:b w:val="0"/>
          <w:sz w:val="16"/>
          <w:szCs w:val="16"/>
          <w:lang w:val="en-US" w:eastAsia="zh-CN"/>
        </w:rPr>
        <w:t>m</w:t>
      </w:r>
      <w:r>
        <w:rPr>
          <w:rFonts w:hint="default" w:ascii="Times New Roman" w:hAnsi="Times New Roman" w:cs="Times New Roman" w:eastAsiaTheme="minorEastAsia"/>
          <w:b w:val="0"/>
          <w:sz w:val="16"/>
          <w:szCs w:val="16"/>
        </w:rPr>
        <w:t xml:space="preserve">ain </w:t>
      </w:r>
      <w:r>
        <w:rPr>
          <w:rFonts w:hint="eastAsia" w:cs="Times New Roman" w:eastAsiaTheme="minorEastAsia"/>
          <w:b w:val="0"/>
          <w:sz w:val="16"/>
          <w:szCs w:val="16"/>
          <w:lang w:val="en-US" w:eastAsia="zh-CN"/>
        </w:rPr>
        <w:t>i</w:t>
      </w:r>
      <w:r>
        <w:rPr>
          <w:rFonts w:hint="default" w:ascii="Times New Roman" w:hAnsi="Times New Roman" w:cs="Times New Roman" w:eastAsiaTheme="minorEastAsia"/>
          <w:b w:val="0"/>
          <w:sz w:val="16"/>
          <w:szCs w:val="16"/>
        </w:rPr>
        <w:t xml:space="preserve">nterface in </w:t>
      </w:r>
      <w:r>
        <w:rPr>
          <w:rFonts w:hint="eastAsia" w:cs="Times New Roman" w:eastAsiaTheme="minorEastAsia"/>
          <w:b w:val="0"/>
          <w:sz w:val="16"/>
          <w:szCs w:val="16"/>
          <w:lang w:val="en-US" w:eastAsia="zh-CN"/>
        </w:rPr>
        <w:t>r</w:t>
      </w:r>
      <w:r>
        <w:rPr>
          <w:rFonts w:hint="default" w:ascii="Times New Roman" w:hAnsi="Times New Roman" w:cs="Times New Roman" w:eastAsiaTheme="minorEastAsia"/>
          <w:b w:val="0"/>
          <w:sz w:val="16"/>
          <w:szCs w:val="16"/>
        </w:rPr>
        <w:t xml:space="preserve">eal-time </w:t>
      </w:r>
      <w:r>
        <w:rPr>
          <w:rFonts w:hint="eastAsia" w:cs="Times New Roman" w:eastAsiaTheme="minorEastAsia"/>
          <w:b w:val="0"/>
          <w:sz w:val="16"/>
          <w:szCs w:val="16"/>
          <w:lang w:val="en-US" w:eastAsia="zh-CN"/>
        </w:rPr>
        <w:t>s</w:t>
      </w:r>
      <w:r>
        <w:rPr>
          <w:rFonts w:hint="default" w:ascii="Times New Roman" w:hAnsi="Times New Roman" w:cs="Times New Roman" w:eastAsiaTheme="minorEastAsia"/>
          <w:b w:val="0"/>
          <w:sz w:val="16"/>
          <w:szCs w:val="16"/>
        </w:rPr>
        <w:t>imulation</w:t>
      </w:r>
    </w:p>
    <w:p w14:paraId="17BB3244">
      <w:pPr>
        <w:adjustRightInd w:val="0"/>
        <w:snapToGrid w:val="0"/>
        <w:spacing w:line="228" w:lineRule="auto"/>
        <w:rPr>
          <w:rFonts w:ascii="Times New Roman" w:hAnsi="Times New Roman" w:cs="Times New Roman"/>
          <w:b/>
          <w:sz w:val="20"/>
          <w:szCs w:val="20"/>
        </w:rPr>
      </w:pPr>
      <w:r>
        <w:rPr>
          <w:rFonts w:ascii="Times New Roman" w:hAnsi="Times New Roman" w:cs="Times New Roman"/>
          <w:b/>
          <w:sz w:val="20"/>
          <w:szCs w:val="20"/>
        </w:rPr>
        <w:t>2.</w:t>
      </w:r>
      <w:r>
        <w:rPr>
          <w:rFonts w:hint="eastAsia" w:ascii="Times New Roman" w:hAnsi="Times New Roman" w:cs="Times New Roman"/>
          <w:b/>
          <w:sz w:val="20"/>
          <w:szCs w:val="20"/>
        </w:rPr>
        <w:t>2</w:t>
      </w:r>
      <w:r>
        <w:rPr>
          <w:rFonts w:ascii="Times New Roman" w:hAnsi="Times New Roman" w:cs="Times New Roman"/>
          <w:b/>
          <w:sz w:val="20"/>
          <w:szCs w:val="20"/>
        </w:rPr>
        <w:t xml:space="preserve"> Key </w:t>
      </w:r>
      <w:r>
        <w:rPr>
          <w:rFonts w:hint="eastAsia" w:ascii="Times New Roman" w:hAnsi="Times New Roman" w:cs="Times New Roman"/>
          <w:b/>
          <w:sz w:val="20"/>
          <w:szCs w:val="20"/>
          <w:lang w:val="en-US" w:eastAsia="zh-CN"/>
        </w:rPr>
        <w:t>s</w:t>
      </w:r>
      <w:r>
        <w:rPr>
          <w:rFonts w:ascii="Times New Roman" w:hAnsi="Times New Roman" w:cs="Times New Roman"/>
          <w:b/>
          <w:sz w:val="20"/>
          <w:szCs w:val="20"/>
        </w:rPr>
        <w:t xml:space="preserve">oftware </w:t>
      </w:r>
      <w:r>
        <w:rPr>
          <w:rFonts w:hint="eastAsia" w:ascii="Times New Roman" w:hAnsi="Times New Roman" w:cs="Times New Roman"/>
          <w:b/>
          <w:sz w:val="20"/>
          <w:szCs w:val="20"/>
          <w:lang w:val="en-US" w:eastAsia="zh-CN"/>
        </w:rPr>
        <w:t>c</w:t>
      </w:r>
      <w:r>
        <w:rPr>
          <w:rFonts w:ascii="Times New Roman" w:hAnsi="Times New Roman" w:cs="Times New Roman"/>
          <w:b/>
          <w:sz w:val="20"/>
          <w:szCs w:val="20"/>
        </w:rPr>
        <w:t>ontributions</w:t>
      </w:r>
    </w:p>
    <w:p w14:paraId="038419F2">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This software integrates features typically dispersed across different systems:</w:t>
      </w:r>
    </w:p>
    <w:p w14:paraId="7DE41813">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(1) Explicit MBTI behavior mapping—rather than pure prompt-driven personality descriptions. MBTI dimensions are converted into inspectable action weights and multipliers, covering five behavior categories: work, chat, rest, movement, and meeting. Behavioral differences are traceable to specific weights, reproducible under fixed seeds, and modifiable without rewriting the engine.</w:t>
      </w:r>
    </w:p>
    <w:p w14:paraId="327C95D4">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 xml:space="preserve">(2) Four-layer decision flow—integrating event participation, schedule logic, optional LLM reasoning </w:t>
      </w:r>
      <w:r>
        <w:rPr>
          <w:rFonts w:ascii="Times New Roman" w:hAnsi="Times New Roman" w:cs="Times New Roman"/>
          <w:sz w:val="20"/>
          <w:szCs w:val="20"/>
          <w:vertAlign w:val="superscript"/>
        </w:rPr>
        <w:t>[10]</w:t>
      </w:r>
      <w:r>
        <w:rPr>
          <w:rFonts w:ascii="Times New Roman" w:hAnsi="Times New Roman" w:cs="Times New Roman"/>
          <w:sz w:val="20"/>
          <w:szCs w:val="20"/>
        </w:rPr>
        <w:t>, and deterministic degradation. This design ensures the software functions in constrained environments while remaining experimentally accessible, without forcing dependency on online reasoning services.</w:t>
      </w:r>
    </w:p>
    <w:p w14:paraId="708CA27B">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(3) Social continuity—implemented through memory retrieval and dynamic intimacy mechanisms. Significant events influence subsequent behavior; relationships are strengthened through interaction and weakened through time-based decay.</w:t>
      </w:r>
    </w:p>
    <w:p w14:paraId="5E4238ED">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(4) Adaptive task and event generation—perturbing behavior over time. Task difficulty scales according to agent context; company events are dynamically created based on runtime conditions (such as accumulated experience points, departmental performance).</w:t>
      </w:r>
    </w:p>
    <w:p w14:paraId="2D8EB9D6">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(5) Runtime diagnostics—exposing fingerprints, floor distributions, hotspot ratios, and personality tracking information.</w:t>
      </w:r>
    </w:p>
    <w:p w14:paraId="577C0322">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 xml:space="preserve">Our core novelty lies not in simply simulating a virtual company, but in making personality differences computationally explicit: MBTI dimensions are converted into inspectable action weights and multipliers, such that behavioral differences are traceable, reproducible, and modifiable. This is the key distinction between this software package and pure prompt-driven personality agents </w:t>
      </w:r>
      <w:r>
        <w:rPr>
          <w:rFonts w:ascii="Times New Roman" w:hAnsi="Times New Roman" w:cs="Times New Roman"/>
          <w:sz w:val="20"/>
          <w:szCs w:val="20"/>
          <w:vertAlign w:val="superscript"/>
        </w:rPr>
        <w:t>[11]</w:t>
      </w:r>
      <w:r>
        <w:rPr>
          <w:rFonts w:ascii="Times New Roman" w:hAnsi="Times New Roman" w:cs="Times New Roman"/>
          <w:sz w:val="20"/>
          <w:szCs w:val="20"/>
        </w:rPr>
        <w:t>—the latter's behavioral mechanisms are largely opaque. The same structure also makes the software adaptable to other personality models (such as Big Five</w:t>
      </w:r>
      <w:r>
        <w:rPr>
          <w:rFonts w:ascii="Times New Roman" w:hAnsi="Times New Roman" w:cs="Times New Roman"/>
          <w:sz w:val="20"/>
          <w:szCs w:val="20"/>
          <w:vertAlign w:val="superscript"/>
        </w:rPr>
        <w:t xml:space="preserve"> [12],</w:t>
      </w:r>
      <w:r>
        <w:rPr>
          <w:rFonts w:ascii="Times New Roman" w:hAnsi="Times New Roman" w:cs="Times New Roman"/>
          <w:sz w:val="20"/>
          <w:szCs w:val="20"/>
        </w:rPr>
        <w:t xml:space="preserve"> Holland's occupational interests </w:t>
      </w:r>
      <w:r>
        <w:rPr>
          <w:rFonts w:ascii="Times New Roman" w:hAnsi="Times New Roman" w:cs="Times New Roman"/>
          <w:sz w:val="20"/>
          <w:szCs w:val="20"/>
          <w:vertAlign w:val="superscript"/>
        </w:rPr>
        <w:t>[13]</w:t>
      </w:r>
      <w:r>
        <w:rPr>
          <w:rFonts w:ascii="Times New Roman" w:hAnsi="Times New Roman" w:cs="Times New Roman"/>
          <w:sz w:val="20"/>
          <w:szCs w:val="20"/>
        </w:rPr>
        <w:t>).</w:t>
      </w:r>
    </w:p>
    <w:p w14:paraId="4B9118A0">
      <w:pPr>
        <w:adjustRightInd w:val="0"/>
        <w:snapToGrid w:val="0"/>
        <w:spacing w:line="228" w:lineRule="auto"/>
        <w:rPr>
          <w:rFonts w:ascii="Times New Roman" w:hAnsi="Times New Roman" w:cs="Times New Roman"/>
          <w:b/>
          <w:sz w:val="20"/>
          <w:szCs w:val="20"/>
        </w:rPr>
      </w:pPr>
      <w:r>
        <w:rPr>
          <w:rFonts w:ascii="Times New Roman" w:hAnsi="Times New Roman" w:cs="Times New Roman"/>
          <w:b/>
          <w:sz w:val="20"/>
          <w:szCs w:val="20"/>
        </w:rPr>
        <w:t>2.</w:t>
      </w:r>
      <w:r>
        <w:rPr>
          <w:rFonts w:hint="eastAsia" w:ascii="Times New Roman" w:hAnsi="Times New Roman" w:cs="Times New Roman"/>
          <w:b/>
          <w:sz w:val="20"/>
          <w:szCs w:val="20"/>
        </w:rPr>
        <w:t>3</w:t>
      </w:r>
      <w:r>
        <w:rPr>
          <w:rFonts w:ascii="Times New Roman" w:hAnsi="Times New Roman" w:cs="Times New Roman"/>
          <w:b/>
          <w:sz w:val="20"/>
          <w:szCs w:val="20"/>
        </w:rPr>
        <w:t xml:space="preserve"> Positioning </w:t>
      </w:r>
      <w:r>
        <w:rPr>
          <w:rFonts w:hint="eastAsia" w:ascii="Times New Roman" w:hAnsi="Times New Roman" w:cs="Times New Roman"/>
          <w:b/>
          <w:sz w:val="20"/>
          <w:szCs w:val="20"/>
          <w:lang w:val="en-US" w:eastAsia="zh-CN"/>
        </w:rPr>
        <w:t>r</w:t>
      </w:r>
      <w:r>
        <w:rPr>
          <w:rFonts w:ascii="Times New Roman" w:hAnsi="Times New Roman" w:cs="Times New Roman"/>
          <w:b/>
          <w:sz w:val="20"/>
          <w:szCs w:val="20"/>
        </w:rPr>
        <w:t xml:space="preserve">elative to </w:t>
      </w:r>
      <w:r>
        <w:rPr>
          <w:rFonts w:hint="eastAsia" w:ascii="Times New Roman" w:hAnsi="Times New Roman" w:cs="Times New Roman"/>
          <w:b/>
          <w:sz w:val="20"/>
          <w:szCs w:val="20"/>
          <w:lang w:val="en-US" w:eastAsia="zh-CN"/>
        </w:rPr>
        <w:t>r</w:t>
      </w:r>
      <w:r>
        <w:rPr>
          <w:rFonts w:ascii="Times New Roman" w:hAnsi="Times New Roman" w:cs="Times New Roman"/>
          <w:b/>
          <w:sz w:val="20"/>
          <w:szCs w:val="20"/>
        </w:rPr>
        <w:t xml:space="preserve">elated </w:t>
      </w:r>
      <w:r>
        <w:rPr>
          <w:rFonts w:hint="eastAsia" w:ascii="Times New Roman" w:hAnsi="Times New Roman" w:cs="Times New Roman"/>
          <w:b/>
          <w:sz w:val="20"/>
          <w:szCs w:val="20"/>
          <w:lang w:val="en-US" w:eastAsia="zh-CN"/>
        </w:rPr>
        <w:t>w</w:t>
      </w:r>
      <w:r>
        <w:rPr>
          <w:rFonts w:ascii="Times New Roman" w:hAnsi="Times New Roman" w:cs="Times New Roman"/>
          <w:b/>
          <w:sz w:val="20"/>
          <w:szCs w:val="20"/>
        </w:rPr>
        <w:t>ork</w:t>
      </w:r>
    </w:p>
    <w:p w14:paraId="4BB626D3">
      <w:pPr>
        <w:adjustRightInd w:val="0"/>
        <w:snapToGrid w:val="0"/>
        <w:spacing w:line="228" w:lineRule="auto"/>
        <w:rPr>
          <w:rFonts w:ascii="Times New Roman" w:hAnsi="Times New Roman" w:cs="Times New Roman"/>
          <w:sz w:val="16"/>
          <w:szCs w:val="16"/>
        </w:rPr>
      </w:pPr>
      <w:r>
        <w:rPr>
          <w:rFonts w:hint="eastAsia" w:ascii="Times New Roman" w:hAnsi="Times New Roman" w:cs="Times New Roman"/>
          <w:sz w:val="20"/>
          <w:szCs w:val="20"/>
        </w:rPr>
        <w:t>This contribution is positioned by comparison with adjacent lines of work, rather than by broad claims of absolute novelty. Table 1 summarizes the intended positioning of VirtualCompanySim across generative agent systems, general simulation frameworks, and career guidance systems.</w:t>
      </w:r>
    </w:p>
    <w:p w14:paraId="5677ABF0">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Table 1</w:t>
      </w:r>
    </w:p>
    <w:p w14:paraId="25FC3B54">
      <w:pPr>
        <w:adjustRightInd w:val="0"/>
        <w:snapToGrid w:val="0"/>
        <w:spacing w:line="228" w:lineRule="auto"/>
        <w:jc w:val="left"/>
        <w:rPr>
          <w:rFonts w:ascii="Times New Roman" w:hAnsi="Times New Roman" w:cs="Times New Roman"/>
          <w:b/>
          <w:sz w:val="16"/>
          <w:szCs w:val="16"/>
        </w:rPr>
      </w:pPr>
      <w:r>
        <w:rPr>
          <w:rFonts w:hint="eastAsia" w:ascii="Times New Roman" w:hAnsi="Times New Roman" w:cs="Times New Roman"/>
          <w:b w:val="0"/>
          <w:bCs/>
          <w:sz w:val="16"/>
          <w:szCs w:val="16"/>
        </w:rPr>
        <w:t>Positioning of VirtualCompanySim relative to adjacent software categories</w:t>
      </w:r>
    </w:p>
    <w:tbl>
      <w:tblPr>
        <w:tblStyle w:val="8"/>
        <w:tblW w:w="8854" w:type="dxa"/>
        <w:tblInd w:w="-51"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3"/>
        <w:gridCol w:w="1119"/>
        <w:gridCol w:w="1618"/>
        <w:gridCol w:w="1318"/>
        <w:gridCol w:w="1645"/>
        <w:gridCol w:w="1591"/>
      </w:tblGrid>
      <w:tr w14:paraId="185FC4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 w:hRule="atLeast"/>
        </w:trPr>
        <w:tc>
          <w:tcPr>
            <w:tcW w:w="1563" w:type="dxa"/>
            <w:tcBorders>
              <w:top w:val="single" w:color="auto" w:sz="4" w:space="0"/>
              <w:bottom w:val="single" w:color="auto" w:sz="4" w:space="0"/>
            </w:tcBorders>
            <w:vAlign w:val="center"/>
          </w:tcPr>
          <w:p w14:paraId="587CD4B7">
            <w:pPr>
              <w:adjustRightInd w:val="0"/>
              <w:snapToGrid w:val="0"/>
              <w:spacing w:line="228" w:lineRule="auto"/>
              <w:jc w:val="left"/>
              <w:rPr>
                <w:rFonts w:ascii="Times New Roman" w:hAnsi="Times New Roman" w:cs="Times New Roman"/>
                <w:b/>
                <w:sz w:val="16"/>
                <w:szCs w:val="16"/>
              </w:rPr>
            </w:pPr>
            <w:r>
              <w:rPr>
                <w:rFonts w:hint="eastAsia" w:ascii="Times New Roman" w:hAnsi="Times New Roman" w:cs="Times New Roman"/>
                <w:b/>
                <w:sz w:val="16"/>
                <w:szCs w:val="16"/>
              </w:rPr>
              <w:t>System type</w:t>
            </w:r>
          </w:p>
        </w:tc>
        <w:tc>
          <w:tcPr>
            <w:tcW w:w="1119" w:type="dxa"/>
            <w:tcBorders>
              <w:top w:val="single" w:color="auto" w:sz="4" w:space="0"/>
              <w:bottom w:val="single" w:color="auto" w:sz="4" w:space="0"/>
            </w:tcBorders>
            <w:vAlign w:val="center"/>
          </w:tcPr>
          <w:p w14:paraId="47F94A18">
            <w:pPr>
              <w:adjustRightInd w:val="0"/>
              <w:snapToGrid w:val="0"/>
              <w:spacing w:line="228" w:lineRule="auto"/>
              <w:jc w:val="left"/>
              <w:rPr>
                <w:rFonts w:hint="default" w:ascii="Times New Roman" w:hAnsi="Times New Roman" w:cs="Times New Roman" w:eastAsiaTheme="minorEastAsia"/>
                <w:b/>
                <w:sz w:val="16"/>
                <w:szCs w:val="16"/>
                <w:lang w:val="en-US" w:eastAsia="zh-CN"/>
              </w:rPr>
            </w:pPr>
            <w:r>
              <w:rPr>
                <w:rFonts w:hint="eastAsia" w:ascii="Times New Roman" w:hAnsi="Times New Roman" w:cs="Times New Roman"/>
                <w:b/>
                <w:sz w:val="16"/>
                <w:szCs w:val="16"/>
                <w:lang w:val="en-US" w:eastAsia="zh-CN"/>
              </w:rPr>
              <w:t>Examples</w:t>
            </w:r>
          </w:p>
        </w:tc>
        <w:tc>
          <w:tcPr>
            <w:tcW w:w="1618" w:type="dxa"/>
            <w:tcBorders>
              <w:top w:val="single" w:color="auto" w:sz="4" w:space="0"/>
              <w:bottom w:val="single" w:color="auto" w:sz="4" w:space="0"/>
            </w:tcBorders>
            <w:vAlign w:val="center"/>
          </w:tcPr>
          <w:p w14:paraId="419C5DD9">
            <w:pPr>
              <w:adjustRightInd w:val="0"/>
              <w:snapToGrid w:val="0"/>
              <w:spacing w:line="228" w:lineRule="auto"/>
              <w:jc w:val="left"/>
              <w:rPr>
                <w:rFonts w:ascii="Times New Roman" w:hAnsi="Times New Roman" w:cs="Times New Roman"/>
                <w:b/>
                <w:sz w:val="16"/>
                <w:szCs w:val="16"/>
              </w:rPr>
            </w:pPr>
            <w:r>
              <w:rPr>
                <w:rFonts w:hint="eastAsia" w:ascii="Times New Roman" w:hAnsi="Times New Roman" w:cs="Times New Roman"/>
                <w:b/>
                <w:sz w:val="16"/>
                <w:szCs w:val="16"/>
              </w:rPr>
              <w:t>Reproducibility</w:t>
            </w:r>
          </w:p>
        </w:tc>
        <w:tc>
          <w:tcPr>
            <w:tcW w:w="1318" w:type="dxa"/>
            <w:tcBorders>
              <w:top w:val="single" w:color="auto" w:sz="4" w:space="0"/>
              <w:bottom w:val="single" w:color="auto" w:sz="4" w:space="0"/>
            </w:tcBorders>
            <w:vAlign w:val="center"/>
          </w:tcPr>
          <w:p w14:paraId="415A90FC">
            <w:pPr>
              <w:adjustRightInd w:val="0"/>
              <w:snapToGrid w:val="0"/>
              <w:spacing w:line="228" w:lineRule="auto"/>
              <w:jc w:val="left"/>
              <w:rPr>
                <w:rFonts w:ascii="Times New Roman" w:hAnsi="Times New Roman" w:cs="Times New Roman"/>
                <w:b/>
                <w:sz w:val="16"/>
                <w:szCs w:val="16"/>
              </w:rPr>
            </w:pPr>
            <w:r>
              <w:rPr>
                <w:rFonts w:hint="eastAsia" w:ascii="Times New Roman" w:hAnsi="Times New Roman" w:cs="Times New Roman"/>
                <w:b/>
                <w:sz w:val="16"/>
                <w:szCs w:val="16"/>
              </w:rPr>
              <w:t>Interpretability</w:t>
            </w:r>
          </w:p>
        </w:tc>
        <w:tc>
          <w:tcPr>
            <w:tcW w:w="1645" w:type="dxa"/>
            <w:tcBorders>
              <w:top w:val="single" w:color="auto" w:sz="4" w:space="0"/>
              <w:bottom w:val="single" w:color="auto" w:sz="4" w:space="0"/>
            </w:tcBorders>
            <w:vAlign w:val="center"/>
          </w:tcPr>
          <w:p w14:paraId="0F35616D">
            <w:pPr>
              <w:adjustRightInd w:val="0"/>
              <w:snapToGrid w:val="0"/>
              <w:spacing w:line="228" w:lineRule="auto"/>
              <w:jc w:val="left"/>
              <w:rPr>
                <w:rFonts w:ascii="Times New Roman" w:hAnsi="Times New Roman" w:cs="Times New Roman"/>
                <w:b/>
                <w:sz w:val="16"/>
                <w:szCs w:val="16"/>
              </w:rPr>
            </w:pPr>
            <w:r>
              <w:rPr>
                <w:rFonts w:hint="eastAsia" w:ascii="Times New Roman" w:hAnsi="Times New Roman" w:cs="Times New Roman"/>
                <w:b/>
                <w:sz w:val="16"/>
                <w:szCs w:val="16"/>
              </w:rPr>
              <w:t>Computational cost</w:t>
            </w:r>
          </w:p>
        </w:tc>
        <w:tc>
          <w:tcPr>
            <w:tcW w:w="1591" w:type="dxa"/>
            <w:tcBorders>
              <w:top w:val="single" w:color="auto" w:sz="4" w:space="0"/>
              <w:bottom w:val="single" w:color="auto" w:sz="4" w:space="0"/>
            </w:tcBorders>
            <w:vAlign w:val="center"/>
          </w:tcPr>
          <w:p w14:paraId="408B13A3">
            <w:pPr>
              <w:adjustRightInd w:val="0"/>
              <w:snapToGrid w:val="0"/>
              <w:spacing w:line="228" w:lineRule="auto"/>
              <w:jc w:val="left"/>
              <w:rPr>
                <w:rFonts w:ascii="Times New Roman" w:hAnsi="Times New Roman" w:cs="Times New Roman"/>
                <w:b/>
                <w:sz w:val="16"/>
                <w:szCs w:val="16"/>
              </w:rPr>
            </w:pPr>
            <w:r>
              <w:rPr>
                <w:rFonts w:hint="eastAsia" w:ascii="Times New Roman" w:hAnsi="Times New Roman" w:cs="Times New Roman"/>
                <w:b/>
                <w:sz w:val="16"/>
                <w:szCs w:val="16"/>
              </w:rPr>
              <w:t>Career-exploration specificity</w:t>
            </w:r>
          </w:p>
        </w:tc>
      </w:tr>
      <w:tr w14:paraId="2720F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 w:hRule="atLeast"/>
        </w:trPr>
        <w:tc>
          <w:tcPr>
            <w:tcW w:w="1563" w:type="dxa"/>
            <w:tcBorders>
              <w:top w:val="single" w:color="auto" w:sz="4" w:space="0"/>
            </w:tcBorders>
            <w:vAlign w:val="center"/>
          </w:tcPr>
          <w:p w14:paraId="0FCCCE99">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Generative agent systems</w:t>
            </w:r>
          </w:p>
        </w:tc>
        <w:tc>
          <w:tcPr>
            <w:tcW w:w="1119" w:type="dxa"/>
            <w:tcBorders>
              <w:top w:val="single" w:color="auto" w:sz="4" w:space="0"/>
            </w:tcBorders>
            <w:vAlign w:val="center"/>
          </w:tcPr>
          <w:p w14:paraId="3F1E7389">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Generative Agents; AutoGen; CAMEL; MetaGPT</w:t>
            </w:r>
          </w:p>
        </w:tc>
        <w:tc>
          <w:tcPr>
            <w:tcW w:w="1618" w:type="dxa"/>
            <w:tcBorders>
              <w:top w:val="single" w:color="auto" w:sz="4" w:space="0"/>
            </w:tcBorders>
            <w:vAlign w:val="center"/>
          </w:tcPr>
          <w:p w14:paraId="0E433234">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Medium (service/prompt sensitive)</w:t>
            </w:r>
          </w:p>
        </w:tc>
        <w:tc>
          <w:tcPr>
            <w:tcW w:w="1318" w:type="dxa"/>
            <w:tcBorders>
              <w:top w:val="single" w:color="auto" w:sz="4" w:space="0"/>
            </w:tcBorders>
            <w:vAlign w:val="center"/>
          </w:tcPr>
          <w:p w14:paraId="162E974E">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Low to medium (often prompt-implicit)</w:t>
            </w:r>
          </w:p>
        </w:tc>
        <w:tc>
          <w:tcPr>
            <w:tcW w:w="1645" w:type="dxa"/>
            <w:tcBorders>
              <w:top w:val="single" w:color="auto" w:sz="4" w:space="0"/>
            </w:tcBorders>
            <w:vAlign w:val="center"/>
          </w:tcPr>
          <w:p w14:paraId="59394A5E">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High when LLM-heavy</w:t>
            </w:r>
          </w:p>
        </w:tc>
        <w:tc>
          <w:tcPr>
            <w:tcW w:w="1591" w:type="dxa"/>
            <w:tcBorders>
              <w:top w:val="single" w:color="auto" w:sz="4" w:space="0"/>
            </w:tcBorders>
            <w:vAlign w:val="center"/>
          </w:tcPr>
          <w:p w14:paraId="72923D93">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General social/task simulation</w:t>
            </w:r>
          </w:p>
        </w:tc>
      </w:tr>
      <w:tr w14:paraId="6FD5E4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63" w:type="dxa"/>
            <w:vAlign w:val="center"/>
          </w:tcPr>
          <w:p w14:paraId="19238D5E">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Multi-agent simulation frameworks</w:t>
            </w:r>
          </w:p>
        </w:tc>
        <w:tc>
          <w:tcPr>
            <w:tcW w:w="1119" w:type="dxa"/>
            <w:vAlign w:val="center"/>
          </w:tcPr>
          <w:p w14:paraId="03F3009B">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Mesa; AgentPy; NetLogo</w:t>
            </w:r>
          </w:p>
        </w:tc>
        <w:tc>
          <w:tcPr>
            <w:tcW w:w="1618" w:type="dxa"/>
            <w:vAlign w:val="center"/>
          </w:tcPr>
          <w:p w14:paraId="1C6AE94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 xml:space="preserve">High </w:t>
            </w:r>
          </w:p>
        </w:tc>
        <w:tc>
          <w:tcPr>
            <w:tcW w:w="1318" w:type="dxa"/>
            <w:vAlign w:val="center"/>
          </w:tcPr>
          <w:p w14:paraId="4564E1FB">
            <w:pPr>
              <w:adjustRightInd w:val="0"/>
              <w:snapToGrid w:val="0"/>
              <w:spacing w:line="228" w:lineRule="auto"/>
              <w:jc w:val="left"/>
              <w:rPr>
                <w:rFonts w:hint="default" w:ascii="Times New Roman" w:hAnsi="Times New Roman" w:cs="Times New Roman" w:eastAsiaTheme="minorEastAsia"/>
                <w:sz w:val="16"/>
                <w:szCs w:val="16"/>
                <w:lang w:val="en-US" w:eastAsia="zh-CN"/>
              </w:rPr>
            </w:pPr>
            <w:r>
              <w:rPr>
                <w:rFonts w:hint="eastAsia" w:ascii="Times New Roman" w:hAnsi="Times New Roman" w:cs="Times New Roman"/>
                <w:sz w:val="16"/>
                <w:szCs w:val="16"/>
                <w:lang w:val="en-US" w:eastAsia="zh-CN"/>
              </w:rPr>
              <w:t>High</w:t>
            </w:r>
          </w:p>
        </w:tc>
        <w:tc>
          <w:tcPr>
            <w:tcW w:w="1645" w:type="dxa"/>
            <w:vAlign w:val="center"/>
          </w:tcPr>
          <w:p w14:paraId="6FBE7284">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Low to medium</w:t>
            </w:r>
          </w:p>
        </w:tc>
        <w:tc>
          <w:tcPr>
            <w:tcW w:w="1591" w:type="dxa"/>
            <w:vAlign w:val="center"/>
          </w:tcPr>
          <w:p w14:paraId="0FC70312">
            <w:pPr>
              <w:adjustRightInd w:val="0"/>
              <w:snapToGrid w:val="0"/>
              <w:spacing w:line="228" w:lineRule="auto"/>
              <w:jc w:val="left"/>
              <w:rPr>
                <w:rFonts w:hint="default" w:ascii="Times New Roman" w:hAnsi="Times New Roman" w:eastAsia="楷体" w:cs="Times New Roman"/>
                <w:sz w:val="16"/>
                <w:szCs w:val="16"/>
              </w:rPr>
            </w:pPr>
            <w:r>
              <w:rPr>
                <w:rFonts w:hint="default" w:ascii="Times New Roman" w:hAnsi="Times New Roman" w:eastAsia="宋体" w:cs="Times New Roman"/>
                <w:sz w:val="16"/>
                <w:szCs w:val="16"/>
              </w:rPr>
              <w:t>Not</w:t>
            </w:r>
            <w:r>
              <w:rPr>
                <w:rFonts w:hint="eastAsia" w:ascii="Times New Roman" w:hAnsi="Times New Roman" w:eastAsia="宋体" w:cs="Times New Roman"/>
                <w:sz w:val="16"/>
                <w:szCs w:val="16"/>
                <w:lang w:val="en-US" w:eastAsia="zh-CN"/>
              </w:rPr>
              <w:t xml:space="preserve"> </w:t>
            </w:r>
            <w:r>
              <w:rPr>
                <w:rFonts w:hint="default" w:ascii="Times New Roman" w:hAnsi="Times New Roman" w:eastAsia="宋体" w:cs="Times New Roman"/>
                <w:sz w:val="16"/>
                <w:szCs w:val="16"/>
              </w:rPr>
              <w:t>career-specific by default</w:t>
            </w:r>
          </w:p>
        </w:tc>
      </w:tr>
      <w:tr w14:paraId="5DCCF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563" w:type="dxa"/>
            <w:vAlign w:val="center"/>
          </w:tcPr>
          <w:p w14:paraId="14CCD341">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Career guidance systems</w:t>
            </w:r>
          </w:p>
        </w:tc>
        <w:tc>
          <w:tcPr>
            <w:tcW w:w="1119" w:type="dxa"/>
            <w:vAlign w:val="center"/>
          </w:tcPr>
          <w:p w14:paraId="10D11C5D">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RIASEC/Holland tools; job-matching pipelines</w:t>
            </w:r>
          </w:p>
        </w:tc>
        <w:tc>
          <w:tcPr>
            <w:tcW w:w="1618" w:type="dxa"/>
            <w:vAlign w:val="center"/>
          </w:tcPr>
          <w:p w14:paraId="4139D4A8">
            <w:pPr>
              <w:adjustRightInd w:val="0"/>
              <w:snapToGrid w:val="0"/>
              <w:spacing w:line="228" w:lineRule="auto"/>
              <w:jc w:val="left"/>
              <w:rPr>
                <w:rFonts w:hint="default" w:ascii="Times New Roman" w:hAnsi="Times New Roman" w:cs="Times New Roman" w:eastAsiaTheme="minorEastAsia"/>
                <w:sz w:val="16"/>
                <w:szCs w:val="16"/>
                <w:lang w:val="en-US" w:eastAsia="zh-CN"/>
              </w:rPr>
            </w:pPr>
            <w:r>
              <w:rPr>
                <w:rFonts w:hint="eastAsia" w:ascii="Times New Roman" w:hAnsi="Times New Roman" w:cs="Times New Roman"/>
                <w:sz w:val="16"/>
                <w:szCs w:val="16"/>
                <w:lang w:val="en-US" w:eastAsia="zh-CN"/>
              </w:rPr>
              <w:t>High</w:t>
            </w:r>
          </w:p>
        </w:tc>
        <w:tc>
          <w:tcPr>
            <w:tcW w:w="1318" w:type="dxa"/>
            <w:vAlign w:val="center"/>
          </w:tcPr>
          <w:p w14:paraId="56BD8E7B">
            <w:pPr>
              <w:adjustRightInd w:val="0"/>
              <w:snapToGrid w:val="0"/>
              <w:spacing w:line="228" w:lineRule="auto"/>
              <w:jc w:val="left"/>
              <w:rPr>
                <w:rFonts w:hint="default" w:ascii="Times New Roman" w:hAnsi="Times New Roman" w:cs="Times New Roman" w:eastAsiaTheme="minorEastAsia"/>
                <w:sz w:val="16"/>
                <w:szCs w:val="16"/>
                <w:lang w:val="en-US" w:eastAsia="zh-CN"/>
              </w:rPr>
            </w:pPr>
            <w:r>
              <w:rPr>
                <w:rFonts w:hint="eastAsia" w:ascii="Times New Roman" w:hAnsi="Times New Roman" w:cs="Times New Roman"/>
                <w:sz w:val="16"/>
                <w:szCs w:val="16"/>
                <w:lang w:val="en-US" w:eastAsia="zh-CN"/>
              </w:rPr>
              <w:t>Medium</w:t>
            </w:r>
          </w:p>
        </w:tc>
        <w:tc>
          <w:tcPr>
            <w:tcW w:w="1645" w:type="dxa"/>
            <w:vAlign w:val="center"/>
          </w:tcPr>
          <w:p w14:paraId="2EC1E40F">
            <w:pPr>
              <w:adjustRightInd w:val="0"/>
              <w:snapToGrid w:val="0"/>
              <w:spacing w:line="228" w:lineRule="auto"/>
              <w:jc w:val="left"/>
              <w:rPr>
                <w:rFonts w:hint="default" w:ascii="Times New Roman" w:hAnsi="Times New Roman" w:cs="Times New Roman" w:eastAsiaTheme="minorEastAsia"/>
                <w:sz w:val="16"/>
                <w:szCs w:val="16"/>
                <w:lang w:val="en-US" w:eastAsia="zh-CN"/>
              </w:rPr>
            </w:pPr>
            <w:r>
              <w:rPr>
                <w:rFonts w:hint="eastAsia" w:ascii="Times New Roman" w:hAnsi="Times New Roman" w:cs="Times New Roman"/>
                <w:sz w:val="16"/>
                <w:szCs w:val="16"/>
                <w:lang w:val="en-US" w:eastAsia="zh-CN"/>
              </w:rPr>
              <w:t>Low</w:t>
            </w:r>
          </w:p>
        </w:tc>
        <w:tc>
          <w:tcPr>
            <w:tcW w:w="1591" w:type="dxa"/>
            <w:vAlign w:val="center"/>
          </w:tcPr>
          <w:p w14:paraId="7CDC50B9">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Usually static recommendation</w:t>
            </w:r>
          </w:p>
        </w:tc>
      </w:tr>
      <w:tr w14:paraId="59959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0" w:hRule="atLeast"/>
        </w:trPr>
        <w:tc>
          <w:tcPr>
            <w:tcW w:w="1563" w:type="dxa"/>
            <w:vAlign w:val="center"/>
          </w:tcPr>
          <w:p w14:paraId="3007879C">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VirtualCompanySim (this work)</w:t>
            </w:r>
          </w:p>
        </w:tc>
        <w:tc>
          <w:tcPr>
            <w:tcW w:w="1119" w:type="dxa"/>
            <w:vAlign w:val="center"/>
          </w:tcPr>
          <w:p w14:paraId="2BEA2E82">
            <w:pPr>
              <w:adjustRightInd w:val="0"/>
              <w:snapToGrid w:val="0"/>
              <w:spacing w:line="228" w:lineRule="auto"/>
              <w:jc w:val="center"/>
              <w:rPr>
                <w:rFonts w:hint="eastAsia" w:ascii="Times New Roman" w:hAnsi="Times New Roman" w:cs="Times New Roman" w:eastAsiaTheme="minorEastAsia"/>
                <w:sz w:val="16"/>
                <w:szCs w:val="16"/>
                <w:lang w:eastAsia="zh-CN"/>
              </w:rPr>
            </w:pPr>
            <w:r>
              <w:rPr>
                <w:rFonts w:hint="eastAsia" w:ascii="Times New Roman" w:hAnsi="Times New Roman" w:cs="Times New Roman"/>
                <w:sz w:val="16"/>
                <w:szCs w:val="16"/>
                <w:lang w:val="en-US" w:eastAsia="zh-CN"/>
              </w:rPr>
              <w:t>-</w:t>
            </w:r>
          </w:p>
        </w:tc>
        <w:tc>
          <w:tcPr>
            <w:tcW w:w="1618" w:type="dxa"/>
            <w:vAlign w:val="center"/>
          </w:tcPr>
          <w:p w14:paraId="52070BF7">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High (fixed-seed scripts+deterministic fallback;full-stack deployment path)</w:t>
            </w:r>
          </w:p>
        </w:tc>
        <w:tc>
          <w:tcPr>
            <w:tcW w:w="1318" w:type="dxa"/>
            <w:vAlign w:val="center"/>
          </w:tcPr>
          <w:p w14:paraId="6CB8AE96">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High (explicit personality parameters + diagnostic APIs)</w:t>
            </w:r>
          </w:p>
        </w:tc>
        <w:tc>
          <w:tcPr>
            <w:tcW w:w="1645" w:type="dxa"/>
            <w:vAlign w:val="center"/>
          </w:tcPr>
          <w:p w14:paraId="076597AE">
            <w:pPr>
              <w:adjustRightInd w:val="0"/>
              <w:snapToGrid w:val="0"/>
              <w:spacing w:line="228" w:lineRule="auto"/>
              <w:jc w:val="left"/>
              <w:rPr>
                <w:rFonts w:ascii="Times New Roman" w:hAnsi="Times New Roman" w:cs="Times New Roman"/>
                <w:sz w:val="16"/>
                <w:szCs w:val="16"/>
              </w:rPr>
            </w:pPr>
            <w:r>
              <w:rPr>
                <w:rFonts w:hint="eastAsia" w:ascii="Times New Roman" w:hAnsi="Times New Roman" w:cs="Times New Roman"/>
                <w:sz w:val="16"/>
                <w:szCs w:val="16"/>
              </w:rPr>
              <w:t>Low in rule-priority mode; optional LLM</w:t>
            </w:r>
          </w:p>
        </w:tc>
        <w:tc>
          <w:tcPr>
            <w:tcW w:w="1591" w:type="dxa"/>
            <w:vAlign w:val="center"/>
          </w:tcPr>
          <w:p w14:paraId="111B4B50">
            <w:pPr>
              <w:adjustRightInd w:val="0"/>
              <w:snapToGrid w:val="0"/>
              <w:spacing w:line="228" w:lineRule="auto"/>
              <w:jc w:val="left"/>
              <w:rPr>
                <w:rFonts w:ascii="Times New Roman" w:hAnsi="Times New Roman" w:cs="Times New Roman"/>
                <w:sz w:val="16"/>
                <w:szCs w:val="16"/>
              </w:rPr>
            </w:pPr>
            <w:r>
              <w:rPr>
                <w:rFonts w:hint="default" w:ascii="Times New Roman" w:hAnsi="Times New Roman" w:eastAsia="宋体" w:cs="Times New Roman"/>
                <w:sz w:val="16"/>
                <w:szCs w:val="16"/>
              </w:rPr>
              <w:t>Virtual workplace career exploration</w:t>
            </w:r>
          </w:p>
        </w:tc>
      </w:tr>
    </w:tbl>
    <w:p w14:paraId="79B5A898">
      <w:pPr>
        <w:adjustRightInd w:val="0"/>
        <w:snapToGrid w:val="0"/>
        <w:spacing w:line="228" w:lineRule="auto"/>
        <w:rPr>
          <w:rFonts w:hint="eastAsia" w:ascii="Times New Roman" w:hAnsi="Times New Roman" w:cs="Times New Roman"/>
          <w:sz w:val="20"/>
          <w:szCs w:val="20"/>
        </w:rPr>
      </w:pPr>
      <w:r>
        <w:rPr>
          <w:rFonts w:hint="eastAsia" w:ascii="Times New Roman" w:hAnsi="Times New Roman" w:cs="Times New Roman"/>
          <w:sz w:val="20"/>
          <w:szCs w:val="20"/>
        </w:rPr>
        <w:t>Compared with prompt-driven generative agent systems, VirtualCompanySim prioritizes explicit personality parameterization and deterministic fallback behavior, improving interpretability and rerun stability under fixed seeds. Compared with general-purpose simulation frameworks, it contributes a career-exploration-oriented software package with built-in organizational APIs and diagnostics rather than only domain-agnostic modeling infrastructure. Compared with static career guidance systems, it supports dynamic workplace interaction processes over time instead of recommendation-only outputs. Therefore, VirtualCompanySim is positioned as a reproducible and explainable organizational simulation package for career-exploration scenarios.</w:t>
      </w:r>
    </w:p>
    <w:p w14:paraId="7B9B3EF5">
      <w:pPr>
        <w:adjustRightInd w:val="0"/>
        <w:snapToGrid w:val="0"/>
        <w:spacing w:line="228" w:lineRule="auto"/>
        <w:rPr>
          <w:rFonts w:ascii="Times New Roman" w:hAnsi="Times New Roman" w:cs="Times New Roman"/>
          <w:sz w:val="20"/>
          <w:szCs w:val="20"/>
        </w:rPr>
      </w:pPr>
      <w:r>
        <w:rPr>
          <w:rFonts w:hint="eastAsia" w:ascii="Times New Roman" w:hAnsi="Times New Roman" w:cs="Times New Roman"/>
          <w:sz w:val="20"/>
          <w:szCs w:val="20"/>
        </w:rPr>
        <w:t>This positioning supports VirtualCompanySim as a reusable and explainable research software contribution rather than only an application demonstration.</w:t>
      </w:r>
    </w:p>
    <w:p w14:paraId="0DCB4740">
      <w:pPr>
        <w:adjustRightInd w:val="0"/>
        <w:snapToGrid w:val="0"/>
        <w:spacing w:before="120" w:after="120" w:line="228" w:lineRule="auto"/>
        <w:rPr>
          <w:rFonts w:ascii="Times New Roman" w:hAnsi="Times New Roman" w:cs="Times New Roman"/>
          <w:b/>
          <w:sz w:val="20"/>
          <w:szCs w:val="20"/>
        </w:rPr>
      </w:pPr>
      <w:r>
        <w:rPr>
          <w:rFonts w:hint="eastAsia" w:ascii="Times New Roman" w:hAnsi="Times New Roman" w:cs="Times New Roman"/>
          <w:b/>
          <w:sz w:val="20"/>
          <w:szCs w:val="20"/>
        </w:rPr>
        <w:t>2.4</w:t>
      </w:r>
      <w:r>
        <w:rPr>
          <w:rFonts w:ascii="Times New Roman" w:hAnsi="Times New Roman" w:cs="Times New Roman"/>
          <w:b/>
          <w:sz w:val="20"/>
          <w:szCs w:val="20"/>
        </w:rPr>
        <w:t xml:space="preserve">  Software </w:t>
      </w:r>
      <w:r>
        <w:rPr>
          <w:rFonts w:hint="eastAsia" w:ascii="Times New Roman" w:hAnsi="Times New Roman" w:cs="Times New Roman"/>
          <w:b/>
          <w:sz w:val="20"/>
          <w:szCs w:val="20"/>
          <w:lang w:val="en-US" w:eastAsia="zh-CN"/>
        </w:rPr>
        <w:t>a</w:t>
      </w:r>
      <w:r>
        <w:rPr>
          <w:rFonts w:ascii="Times New Roman" w:hAnsi="Times New Roman" w:cs="Times New Roman"/>
          <w:b/>
          <w:sz w:val="20"/>
          <w:szCs w:val="20"/>
        </w:rPr>
        <w:t>rchitecture</w:t>
      </w:r>
    </w:p>
    <w:p w14:paraId="4A791AAC">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 xml:space="preserve">The simulator employs a layered architecture. Figure 2 shows the overall software architecture of </w:t>
      </w:r>
      <w:bookmarkStart w:id="0" w:name="OLE_LINK2"/>
      <w:bookmarkStart w:id="1" w:name="OLE_LINK3"/>
      <w:r>
        <w:rPr>
          <w:rFonts w:ascii="Times New Roman" w:hAnsi="Times New Roman" w:cs="Times New Roman"/>
          <w:sz w:val="20"/>
          <w:szCs w:val="20"/>
        </w:rPr>
        <w:t>VirtualCompanySim</w:t>
      </w:r>
      <w:bookmarkEnd w:id="0"/>
      <w:bookmarkEnd w:id="1"/>
      <w:r>
        <w:rPr>
          <w:rFonts w:ascii="Times New Roman" w:hAnsi="Times New Roman" w:cs="Times New Roman"/>
          <w:sz w:val="20"/>
          <w:szCs w:val="20"/>
        </w:rPr>
        <w:t>.</w:t>
      </w:r>
    </w:p>
    <w:p w14:paraId="230109B5">
      <w:pPr>
        <w:adjustRightInd w:val="0"/>
        <w:snapToGrid w:val="0"/>
        <w:spacing w:before="120" w:after="120" w:line="228" w:lineRule="auto"/>
        <w:jc w:val="center"/>
        <w:rPr>
          <w:rFonts w:hint="default" w:ascii="Times New Roman" w:hAnsi="Times New Roman" w:cs="Times New Roman"/>
          <w:sz w:val="16"/>
          <w:szCs w:val="16"/>
        </w:rPr>
      </w:pPr>
      <w:r>
        <w:drawing>
          <wp:inline distT="0" distB="0" distL="0" distR="0">
            <wp:extent cx="5274310" cy="2943225"/>
            <wp:effectExtent l="0" t="0" r="2540" b="9525"/>
            <wp:docPr id="3" name="图片 3" descr="fig1_architecture"/>
            <wp:cNvGraphicFramePr/>
            <a:graphic xmlns:a="http://schemas.openxmlformats.org/drawingml/2006/main">
              <a:graphicData uri="http://schemas.openxmlformats.org/drawingml/2006/picture">
                <pic:pic xmlns:pic="http://schemas.openxmlformats.org/drawingml/2006/picture">
                  <pic:nvPicPr>
                    <pic:cNvPr id="3" name="图片 3" descr="fig1_architecture"/>
                    <pic:cNvPicPr/>
                  </pic:nvPicPr>
                  <pic:blipFill>
                    <a:blip r:embed="rId6"/>
                    <a:srcRect t="4537" b="13270"/>
                    <a:stretch>
                      <a:fillRect/>
                    </a:stretch>
                  </pic:blipFill>
                  <pic:spPr>
                    <a:xfrm>
                      <a:off x="0" y="0"/>
                      <a:ext cx="5274310" cy="2943225"/>
                    </a:xfrm>
                    <a:prstGeom prst="rect">
                      <a:avLst/>
                    </a:prstGeom>
                  </pic:spPr>
                </pic:pic>
              </a:graphicData>
            </a:graphic>
          </wp:inline>
        </w:drawing>
      </w:r>
      <w:r>
        <w:rPr>
          <w:rFonts w:hint="default" w:ascii="Times New Roman" w:hAnsi="Times New Roman" w:cs="Times New Roman"/>
          <w:b/>
          <w:bCs/>
          <w:sz w:val="16"/>
          <w:szCs w:val="16"/>
        </w:rPr>
        <w:t xml:space="preserve">Fig. 2. </w:t>
      </w:r>
      <w:r>
        <w:rPr>
          <w:rFonts w:hint="default" w:ascii="Times New Roman" w:hAnsi="Times New Roman" w:cs="Times New Roman"/>
          <w:sz w:val="16"/>
          <w:szCs w:val="16"/>
        </w:rPr>
        <w:t xml:space="preserve"> System </w:t>
      </w:r>
      <w:r>
        <w:rPr>
          <w:rFonts w:hint="eastAsia" w:ascii="Times New Roman" w:hAnsi="Times New Roman" w:cs="Times New Roman"/>
          <w:sz w:val="16"/>
          <w:szCs w:val="16"/>
          <w:lang w:val="en-US" w:eastAsia="zh-CN"/>
        </w:rPr>
        <w:t>a</w:t>
      </w:r>
      <w:r>
        <w:rPr>
          <w:rFonts w:hint="default" w:ascii="Times New Roman" w:hAnsi="Times New Roman" w:cs="Times New Roman"/>
          <w:sz w:val="16"/>
          <w:szCs w:val="16"/>
        </w:rPr>
        <w:t xml:space="preserve">rchitecture </w:t>
      </w:r>
      <w:r>
        <w:rPr>
          <w:rFonts w:hint="eastAsia" w:ascii="Times New Roman" w:hAnsi="Times New Roman" w:cs="Times New Roman"/>
          <w:sz w:val="16"/>
          <w:szCs w:val="16"/>
          <w:lang w:val="en-US" w:eastAsia="zh-CN"/>
        </w:rPr>
        <w:t>d</w:t>
      </w:r>
      <w:r>
        <w:rPr>
          <w:rFonts w:hint="default" w:ascii="Times New Roman" w:hAnsi="Times New Roman" w:cs="Times New Roman"/>
          <w:sz w:val="16"/>
          <w:szCs w:val="16"/>
        </w:rPr>
        <w:t>iagram</w:t>
      </w:r>
    </w:p>
    <w:p w14:paraId="79DE3AB2">
      <w:pPr>
        <w:adjustRightInd w:val="0"/>
        <w:snapToGrid w:val="0"/>
        <w:spacing w:line="228" w:lineRule="auto"/>
        <w:rPr>
          <w:rFonts w:ascii="Times New Roman" w:hAnsi="Times New Roman" w:cs="Times New Roman"/>
          <w:sz w:val="20"/>
          <w:szCs w:val="20"/>
        </w:rPr>
      </w:pPr>
      <w:r>
        <w:rPr>
          <w:rFonts w:hint="eastAsia" w:ascii="Times New Roman" w:hAnsi="Times New Roman" w:cs="Times New Roman"/>
          <w:sz w:val="20"/>
          <w:szCs w:val="20"/>
        </w:rPr>
        <w:t>The frontend is implemented with Vue 3 and TypeScript, rendering a three-floor office environment and providing inspection panels via WebSocket synchronization. The backend uses FastAPI for REST and WebSocket endpoints covering simulation control, diagnostics, and NPC state reconstruction. Core behavior is distributed across nine engine modules，as shown in Table 2.</w:t>
      </w:r>
    </w:p>
    <w:p w14:paraId="5D7EA59D">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engine adopts a tick-based simulation model. During each tick, agents can continue current actions, complete actions, respond to ongoing events, or select new behaviors via the decision stack.</w:t>
      </w:r>
    </w:p>
    <w:p w14:paraId="13BB0CC2">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Table 2</w:t>
      </w:r>
    </w:p>
    <w:p w14:paraId="5EA4680D">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val="0"/>
          <w:bCs/>
          <w:sz w:val="16"/>
          <w:szCs w:val="16"/>
        </w:rPr>
        <w:t xml:space="preserve">Key </w:t>
      </w:r>
      <w:r>
        <w:rPr>
          <w:rFonts w:hint="eastAsia" w:ascii="Times New Roman" w:hAnsi="Times New Roman" w:cs="Times New Roman"/>
          <w:b w:val="0"/>
          <w:bCs/>
          <w:sz w:val="16"/>
          <w:szCs w:val="16"/>
          <w:lang w:val="en-US" w:eastAsia="zh-CN"/>
        </w:rPr>
        <w:t>s</w:t>
      </w:r>
      <w:r>
        <w:rPr>
          <w:rFonts w:ascii="Times New Roman" w:hAnsi="Times New Roman" w:cs="Times New Roman"/>
          <w:b w:val="0"/>
          <w:bCs/>
          <w:sz w:val="16"/>
          <w:szCs w:val="16"/>
        </w:rPr>
        <w:t xml:space="preserve">oftware </w:t>
      </w:r>
      <w:r>
        <w:rPr>
          <w:rFonts w:hint="eastAsia" w:ascii="Times New Roman" w:hAnsi="Times New Roman" w:cs="Times New Roman"/>
          <w:b w:val="0"/>
          <w:bCs/>
          <w:sz w:val="16"/>
          <w:szCs w:val="16"/>
          <w:lang w:val="en-US" w:eastAsia="zh-CN"/>
        </w:rPr>
        <w:t>m</w:t>
      </w:r>
      <w:r>
        <w:rPr>
          <w:rFonts w:ascii="Times New Roman" w:hAnsi="Times New Roman" w:cs="Times New Roman"/>
          <w:b w:val="0"/>
          <w:bCs/>
          <w:sz w:val="16"/>
          <w:szCs w:val="16"/>
        </w:rPr>
        <w:t xml:space="preserve">odules and </w:t>
      </w:r>
      <w:r>
        <w:rPr>
          <w:rFonts w:hint="eastAsia" w:ascii="Times New Roman" w:hAnsi="Times New Roman" w:cs="Times New Roman"/>
          <w:b w:val="0"/>
          <w:bCs/>
          <w:sz w:val="16"/>
          <w:szCs w:val="16"/>
          <w:lang w:val="en-US" w:eastAsia="zh-CN"/>
        </w:rPr>
        <w:t>r</w:t>
      </w:r>
      <w:r>
        <w:rPr>
          <w:rFonts w:ascii="Times New Roman" w:hAnsi="Times New Roman" w:cs="Times New Roman"/>
          <w:b w:val="0"/>
          <w:bCs/>
          <w:sz w:val="16"/>
          <w:szCs w:val="16"/>
        </w:rPr>
        <w:t>esponsibilities</w:t>
      </w:r>
    </w:p>
    <w:tbl>
      <w:tblPr>
        <w:tblStyle w:val="8"/>
        <w:tblpPr w:leftFromText="180" w:rightFromText="180" w:vertAnchor="text" w:tblpXSpec="center" w:tblpY="21"/>
        <w:tblW w:w="0" w:type="auto"/>
        <w:tblInd w:w="16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5"/>
        <w:gridCol w:w="1625"/>
        <w:gridCol w:w="5357"/>
      </w:tblGrid>
      <w:tr w14:paraId="57654B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tcBorders>
              <w:top w:val="single" w:color="auto" w:sz="4" w:space="0"/>
              <w:bottom w:val="single" w:color="auto" w:sz="4" w:space="0"/>
            </w:tcBorders>
            <w:vAlign w:val="center"/>
          </w:tcPr>
          <w:p w14:paraId="6438A9C4">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Module</w:t>
            </w:r>
          </w:p>
        </w:tc>
        <w:tc>
          <w:tcPr>
            <w:tcW w:w="1625" w:type="dxa"/>
            <w:tcBorders>
              <w:top w:val="single" w:color="auto" w:sz="4" w:space="0"/>
              <w:bottom w:val="single" w:color="auto" w:sz="4" w:space="0"/>
            </w:tcBorders>
            <w:vAlign w:val="center"/>
          </w:tcPr>
          <w:p w14:paraId="6CD5A562">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Path</w:t>
            </w:r>
          </w:p>
        </w:tc>
        <w:tc>
          <w:tcPr>
            <w:tcW w:w="5357" w:type="dxa"/>
            <w:tcBorders>
              <w:top w:val="single" w:color="auto" w:sz="4" w:space="0"/>
              <w:bottom w:val="single" w:color="auto" w:sz="4" w:space="0"/>
            </w:tcBorders>
            <w:vAlign w:val="center"/>
          </w:tcPr>
          <w:p w14:paraId="5B3690FE">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Responsibility</w:t>
            </w:r>
          </w:p>
        </w:tc>
      </w:tr>
      <w:tr w14:paraId="5AC0F6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tcBorders>
              <w:top w:val="single" w:color="auto" w:sz="4" w:space="0"/>
            </w:tcBorders>
            <w:vAlign w:val="center"/>
          </w:tcPr>
          <w:p w14:paraId="64199DAF">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Simulation Loop</w:t>
            </w:r>
          </w:p>
        </w:tc>
        <w:tc>
          <w:tcPr>
            <w:tcW w:w="1625" w:type="dxa"/>
            <w:tcBorders>
              <w:top w:val="single" w:color="auto" w:sz="4" w:space="0"/>
            </w:tcBorders>
            <w:vAlign w:val="center"/>
          </w:tcPr>
          <w:p w14:paraId="45C334D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“simulation_loop.py”</w:t>
            </w:r>
          </w:p>
        </w:tc>
        <w:tc>
          <w:tcPr>
            <w:tcW w:w="5357" w:type="dxa"/>
            <w:tcBorders>
              <w:top w:val="single" w:color="auto" w:sz="4" w:space="0"/>
            </w:tcBorders>
            <w:vAlign w:val="center"/>
          </w:tcPr>
          <w:p w14:paraId="6CCEF604">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30-second tick scheduling, state transitions, XP/promotion settlement</w:t>
            </w:r>
          </w:p>
        </w:tc>
      </w:tr>
      <w:tr w14:paraId="7DC1F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375" w:type="dxa"/>
            <w:vAlign w:val="center"/>
          </w:tcPr>
          <w:p w14:paraId="37BBBBD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AI Decision Engine</w:t>
            </w:r>
          </w:p>
        </w:tc>
        <w:tc>
          <w:tcPr>
            <w:tcW w:w="1625" w:type="dxa"/>
            <w:vAlign w:val="center"/>
          </w:tcPr>
          <w:p w14:paraId="3822496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“agent</w:t>
            </w:r>
            <w:r>
              <w:rPr>
                <w:rFonts w:hint="eastAsia" w:ascii="Times New Roman" w:hAnsi="Times New Roman" w:cs="Times New Roman"/>
                <w:sz w:val="16"/>
                <w:szCs w:val="16"/>
              </w:rPr>
              <w:t>_</w:t>
            </w:r>
            <w:r>
              <w:rPr>
                <w:rFonts w:ascii="Times New Roman" w:hAnsi="Times New Roman" w:cs="Times New Roman"/>
                <w:sz w:val="16"/>
                <w:szCs w:val="16"/>
              </w:rPr>
              <w:t>ai.py”</w:t>
            </w:r>
          </w:p>
        </w:tc>
        <w:tc>
          <w:tcPr>
            <w:tcW w:w="5357" w:type="dxa"/>
            <w:vAlign w:val="center"/>
          </w:tcPr>
          <w:p w14:paraId="1666B888">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MBTI weight calculation, four-layer decision stack, task preference scoring</w:t>
            </w:r>
          </w:p>
        </w:tc>
      </w:tr>
      <w:tr w14:paraId="774BF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vAlign w:val="center"/>
          </w:tcPr>
          <w:p w14:paraId="144D4468">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NPC Presets</w:t>
            </w:r>
          </w:p>
        </w:tc>
        <w:tc>
          <w:tcPr>
            <w:tcW w:w="1625" w:type="dxa"/>
            <w:vAlign w:val="center"/>
          </w:tcPr>
          <w:p w14:paraId="7345F82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“npc_seeder.py”</w:t>
            </w:r>
          </w:p>
        </w:tc>
        <w:tc>
          <w:tcPr>
            <w:tcW w:w="5357" w:type="dxa"/>
            <w:vAlign w:val="center"/>
          </w:tcPr>
          <w:p w14:paraId="5E4E2771">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16 NPC creation (covering all 16 MBTI types), attribute assignment</w:t>
            </w:r>
          </w:p>
        </w:tc>
      </w:tr>
      <w:tr w14:paraId="2F03DB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vAlign w:val="center"/>
          </w:tcPr>
          <w:p w14:paraId="398D2FD8">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Event Engine</w:t>
            </w:r>
          </w:p>
        </w:tc>
        <w:tc>
          <w:tcPr>
            <w:tcW w:w="1625" w:type="dxa"/>
            <w:vAlign w:val="center"/>
          </w:tcPr>
          <w:p w14:paraId="78713E6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“event_engine.py”</w:t>
            </w:r>
          </w:p>
        </w:tc>
        <w:tc>
          <w:tcPr>
            <w:tcW w:w="5357" w:type="dxa"/>
            <w:vAlign w:val="center"/>
          </w:tcPr>
          <w:p w14:paraId="2B747D9E">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Dynamic event detection (XP milestones/departmental performance/emergency mobilization)</w:t>
            </w:r>
          </w:p>
        </w:tc>
      </w:tr>
      <w:tr w14:paraId="6B6F27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vAlign w:val="center"/>
          </w:tcPr>
          <w:p w14:paraId="42164902">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Schedule Engine</w:t>
            </w:r>
          </w:p>
        </w:tc>
        <w:tc>
          <w:tcPr>
            <w:tcW w:w="1625" w:type="dxa"/>
            <w:vAlign w:val="center"/>
          </w:tcPr>
          <w:p w14:paraId="6BFBB381">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“schedule_engine.py”</w:t>
            </w:r>
          </w:p>
        </w:tc>
        <w:tc>
          <w:tcPr>
            <w:tcW w:w="5357" w:type="dxa"/>
            <w:vAlign w:val="center"/>
          </w:tcPr>
          <w:p w14:paraId="32225DA4">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Basic schedule management, J/P time variance</w:t>
            </w:r>
          </w:p>
        </w:tc>
      </w:tr>
      <w:tr w14:paraId="3445FD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vAlign w:val="center"/>
          </w:tcPr>
          <w:p w14:paraId="223D12E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Compatibility Scoring</w:t>
            </w:r>
          </w:p>
        </w:tc>
        <w:tc>
          <w:tcPr>
            <w:tcW w:w="1625" w:type="dxa"/>
            <w:vAlign w:val="center"/>
          </w:tcPr>
          <w:p w14:paraId="1C0BE458">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“mbti_compat.py”</w:t>
            </w:r>
          </w:p>
        </w:tc>
        <w:tc>
          <w:tcPr>
            <w:tcW w:w="5357" w:type="dxa"/>
            <w:vAlign w:val="center"/>
          </w:tcPr>
          <w:p w14:paraId="0F43BA12">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Temperament group classification, hierarchical compatibility calculation</w:t>
            </w:r>
          </w:p>
        </w:tc>
      </w:tr>
      <w:tr w14:paraId="413E87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vAlign w:val="center"/>
          </w:tcPr>
          <w:p w14:paraId="7C1D398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Memory Engine</w:t>
            </w:r>
          </w:p>
        </w:tc>
        <w:tc>
          <w:tcPr>
            <w:tcW w:w="1625" w:type="dxa"/>
            <w:vAlign w:val="center"/>
          </w:tcPr>
          <w:p w14:paraId="0835D7E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“memory_engine.py”</w:t>
            </w:r>
          </w:p>
        </w:tc>
        <w:tc>
          <w:tcPr>
            <w:tcW w:w="5357" w:type="dxa"/>
            <w:vAlign w:val="center"/>
          </w:tcPr>
          <w:p w14:paraId="14A962C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7-level importance stratification, memory retrieval and summarization</w:t>
            </w:r>
          </w:p>
        </w:tc>
      </w:tr>
      <w:tr w14:paraId="5FF3CE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 w:hRule="atLeast"/>
        </w:trPr>
        <w:tc>
          <w:tcPr>
            <w:tcW w:w="1375" w:type="dxa"/>
            <w:vAlign w:val="center"/>
          </w:tcPr>
          <w:p w14:paraId="16D341AE">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Affinity Engine</w:t>
            </w:r>
          </w:p>
        </w:tc>
        <w:tc>
          <w:tcPr>
            <w:tcW w:w="1625" w:type="dxa"/>
            <w:vAlign w:val="center"/>
          </w:tcPr>
          <w:p w14:paraId="418B5C45">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“affinity_engine.py”</w:t>
            </w:r>
          </w:p>
        </w:tc>
        <w:tc>
          <w:tcPr>
            <w:tcW w:w="5357" w:type="dxa"/>
            <w:vAlign w:val="center"/>
          </w:tcPr>
          <w:p w14:paraId="1A5F956A">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Interaction incentives, forgetting threshold decay, background maintenance</w:t>
            </w:r>
          </w:p>
        </w:tc>
      </w:tr>
      <w:tr w14:paraId="44D87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1375" w:type="dxa"/>
            <w:vAlign w:val="center"/>
          </w:tcPr>
          <w:p w14:paraId="2754A9F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Task Generator</w:t>
            </w:r>
          </w:p>
        </w:tc>
        <w:tc>
          <w:tcPr>
            <w:tcW w:w="1625" w:type="dxa"/>
            <w:vAlign w:val="center"/>
          </w:tcPr>
          <w:p w14:paraId="760937DA">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“task_generator.py”</w:t>
            </w:r>
          </w:p>
        </w:tc>
        <w:tc>
          <w:tcPr>
            <w:tcW w:w="5357" w:type="dxa"/>
            <w:vAlign w:val="center"/>
          </w:tcPr>
          <w:p w14:paraId="5AB09F34">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60 templates, difficulty scaling, chained rewards</w:t>
            </w:r>
          </w:p>
        </w:tc>
      </w:tr>
    </w:tbl>
    <w:p w14:paraId="3F15AB54">
      <w:pPr>
        <w:adjustRightInd w:val="0"/>
        <w:snapToGrid w:val="0"/>
        <w:spacing w:line="228" w:lineRule="auto"/>
        <w:rPr>
          <w:rFonts w:ascii="Times New Roman" w:hAnsi="Times New Roman" w:cs="Times New Roman"/>
          <w:b/>
          <w:sz w:val="16"/>
          <w:szCs w:val="16"/>
        </w:rPr>
      </w:pPr>
    </w:p>
    <w:p w14:paraId="3D5A8205">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2.5</w:t>
      </w:r>
      <w:r>
        <w:rPr>
          <w:rFonts w:ascii="Times New Roman" w:hAnsi="Times New Roman" w:cs="Times New Roman"/>
          <w:b/>
          <w:sz w:val="20"/>
          <w:szCs w:val="20"/>
        </w:rPr>
        <w:t xml:space="preserve"> MBT</w:t>
      </w:r>
      <w:r>
        <w:rPr>
          <w:rFonts w:ascii="Times New Roman" w:hAnsi="Times New Roman" w:cs="Times New Roman"/>
          <w:b/>
          <w:bCs w:val="0"/>
          <w:sz w:val="20"/>
          <w:szCs w:val="20"/>
        </w:rPr>
        <w:t>I</w:t>
      </w:r>
      <w:r>
        <w:rPr>
          <w:rFonts w:ascii="Times New Roman" w:hAnsi="Times New Roman" w:cs="Times New Roman"/>
          <w:b w:val="0"/>
          <w:bCs/>
          <w:sz w:val="20"/>
          <w:szCs w:val="20"/>
        </w:rPr>
        <w:t>-</w:t>
      </w:r>
      <w:r>
        <w:rPr>
          <w:rFonts w:hint="eastAsia" w:ascii="Times New Roman" w:hAnsi="Times New Roman" w:cs="Times New Roman"/>
          <w:b/>
          <w:bCs w:val="0"/>
          <w:sz w:val="20"/>
          <w:szCs w:val="20"/>
          <w:lang w:val="en-US" w:eastAsia="zh-CN"/>
        </w:rPr>
        <w:t>d</w:t>
      </w:r>
      <w:r>
        <w:rPr>
          <w:rFonts w:ascii="Times New Roman" w:hAnsi="Times New Roman" w:cs="Times New Roman"/>
          <w:b/>
          <w:bCs w:val="0"/>
          <w:sz w:val="20"/>
          <w:szCs w:val="20"/>
        </w:rPr>
        <w:t>rive</w:t>
      </w:r>
      <w:r>
        <w:rPr>
          <w:rFonts w:ascii="Times New Roman" w:hAnsi="Times New Roman" w:cs="Times New Roman"/>
          <w:b/>
          <w:sz w:val="20"/>
          <w:szCs w:val="20"/>
        </w:rPr>
        <w:t xml:space="preserve">n </w:t>
      </w:r>
      <w:r>
        <w:rPr>
          <w:rFonts w:hint="eastAsia" w:ascii="Times New Roman" w:hAnsi="Times New Roman" w:cs="Times New Roman"/>
          <w:b/>
          <w:sz w:val="20"/>
          <w:szCs w:val="20"/>
          <w:lang w:val="en-US" w:eastAsia="zh-CN"/>
        </w:rPr>
        <w:t>p</w:t>
      </w:r>
      <w:r>
        <w:rPr>
          <w:rFonts w:ascii="Times New Roman" w:hAnsi="Times New Roman" w:cs="Times New Roman"/>
          <w:b/>
          <w:sz w:val="20"/>
          <w:szCs w:val="20"/>
        </w:rPr>
        <w:t>arameterization</w:t>
      </w:r>
    </w:p>
    <w:p w14:paraId="543ABEC0">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software converts MBTI preferences into explicit action weights and multipliers for five primary behavior categories (work, chat, rest, movement, meeting). This design decision is central to the contribution: personality is not merely stored as descriptive text, but exists as an inspectable computational layer.</w:t>
      </w:r>
    </w:p>
    <w:p w14:paraId="6CB4A9C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 xml:space="preserve">Let the MBTI type of an agent be </w:t>
      </w:r>
      <m:oMath>
        <m:r>
          <m:rPr>
            <m:sty m:val="bi"/>
          </m:rPr>
          <w:rPr>
            <w:rFonts w:ascii="Cambria Math"/>
            <w:sz w:val="20"/>
            <w:szCs w:val="20"/>
          </w:rPr>
          <m:t>m</m:t>
        </m:r>
        <m:r>
          <m:rPr/>
          <w:rPr>
            <w:rFonts w:ascii="Cambria Math"/>
            <w:sz w:val="20"/>
            <w:szCs w:val="20"/>
          </w:rPr>
          <m:t>=(</m:t>
        </m:r>
        <m:sSub>
          <m:sSubPr>
            <m:ctrlPr>
              <w:rPr>
                <w:rFonts w:ascii="Cambria Math" w:hAnsi="Cambria Math"/>
                <w:sz w:val="20"/>
                <w:szCs w:val="20"/>
              </w:rPr>
            </m:ctrlPr>
          </m:sSubPr>
          <m:e>
            <m:r>
              <m:rPr/>
              <w:rPr>
                <w:rFonts w:ascii="Cambria Math"/>
                <w:sz w:val="20"/>
                <w:szCs w:val="20"/>
              </w:rPr>
              <m:t>m</m:t>
            </m:r>
            <m:ctrlPr>
              <w:rPr>
                <w:rFonts w:ascii="Cambria Math" w:hAnsi="Cambria Math"/>
                <w:sz w:val="20"/>
                <w:szCs w:val="20"/>
              </w:rPr>
            </m:ctrlPr>
          </m:e>
          <m:sub>
            <m:r>
              <m:rPr/>
              <w:rPr>
                <w:rFonts w:ascii="Cambria Math"/>
                <w:sz w:val="20"/>
                <w:szCs w:val="20"/>
              </w:rPr>
              <m:t>1</m:t>
            </m:r>
            <m:ctrlPr>
              <w:rPr>
                <w:rFonts w:ascii="Cambria Math" w:hAnsi="Cambria Math"/>
                <w:sz w:val="20"/>
                <w:szCs w:val="20"/>
              </w:rPr>
            </m:ctrlPr>
          </m:sub>
        </m:sSub>
        <m:r>
          <m:rPr/>
          <w:rPr>
            <w:rFonts w:ascii="Cambria Math"/>
            <w:sz w:val="20"/>
            <w:szCs w:val="20"/>
          </w:rPr>
          <m:t>,</m:t>
        </m:r>
        <m:sSub>
          <m:sSubPr>
            <m:ctrlPr>
              <w:rPr>
                <w:rFonts w:ascii="Cambria Math" w:hAnsi="Cambria Math"/>
                <w:sz w:val="20"/>
                <w:szCs w:val="20"/>
              </w:rPr>
            </m:ctrlPr>
          </m:sSubPr>
          <m:e>
            <m:r>
              <m:rPr/>
              <w:rPr>
                <w:rFonts w:ascii="Cambria Math"/>
                <w:sz w:val="20"/>
                <w:szCs w:val="20"/>
              </w:rPr>
              <m:t>m</m:t>
            </m:r>
            <m:ctrlPr>
              <w:rPr>
                <w:rFonts w:ascii="Cambria Math" w:hAnsi="Cambria Math"/>
                <w:sz w:val="20"/>
                <w:szCs w:val="20"/>
              </w:rPr>
            </m:ctrlPr>
          </m:e>
          <m:sub>
            <m:r>
              <m:rPr/>
              <w:rPr>
                <w:rFonts w:ascii="Cambria Math"/>
                <w:sz w:val="20"/>
                <w:szCs w:val="20"/>
              </w:rPr>
              <m:t>2</m:t>
            </m:r>
            <m:ctrlPr>
              <w:rPr>
                <w:rFonts w:ascii="Cambria Math" w:hAnsi="Cambria Math"/>
                <w:sz w:val="20"/>
                <w:szCs w:val="20"/>
              </w:rPr>
            </m:ctrlPr>
          </m:sub>
        </m:sSub>
        <m:r>
          <m:rPr/>
          <w:rPr>
            <w:rFonts w:ascii="Cambria Math"/>
            <w:sz w:val="20"/>
            <w:szCs w:val="20"/>
          </w:rPr>
          <m:t>,</m:t>
        </m:r>
        <m:sSub>
          <m:sSubPr>
            <m:ctrlPr>
              <w:rPr>
                <w:rFonts w:ascii="Cambria Math" w:hAnsi="Cambria Math"/>
                <w:sz w:val="20"/>
                <w:szCs w:val="20"/>
              </w:rPr>
            </m:ctrlPr>
          </m:sSubPr>
          <m:e>
            <m:r>
              <m:rPr/>
              <w:rPr>
                <w:rFonts w:ascii="Cambria Math"/>
                <w:sz w:val="20"/>
                <w:szCs w:val="20"/>
              </w:rPr>
              <m:t>m</m:t>
            </m:r>
            <m:ctrlPr>
              <w:rPr>
                <w:rFonts w:ascii="Cambria Math" w:hAnsi="Cambria Math"/>
                <w:sz w:val="20"/>
                <w:szCs w:val="20"/>
              </w:rPr>
            </m:ctrlPr>
          </m:e>
          <m:sub>
            <m:r>
              <m:rPr/>
              <w:rPr>
                <w:rFonts w:ascii="Cambria Math"/>
                <w:sz w:val="20"/>
                <w:szCs w:val="20"/>
              </w:rPr>
              <m:t>3</m:t>
            </m:r>
            <m:ctrlPr>
              <w:rPr>
                <w:rFonts w:ascii="Cambria Math" w:hAnsi="Cambria Math"/>
                <w:sz w:val="20"/>
                <w:szCs w:val="20"/>
              </w:rPr>
            </m:ctrlPr>
          </m:sub>
        </m:sSub>
        <m:r>
          <m:rPr/>
          <w:rPr>
            <w:rFonts w:ascii="Cambria Math"/>
            <w:sz w:val="20"/>
            <w:szCs w:val="20"/>
          </w:rPr>
          <m:t>,</m:t>
        </m:r>
        <m:sSub>
          <m:sSubPr>
            <m:ctrlPr>
              <w:rPr>
                <w:rFonts w:ascii="Cambria Math" w:hAnsi="Cambria Math"/>
                <w:sz w:val="20"/>
                <w:szCs w:val="20"/>
              </w:rPr>
            </m:ctrlPr>
          </m:sSubPr>
          <m:e>
            <m:r>
              <m:rPr/>
              <w:rPr>
                <w:rFonts w:ascii="Cambria Math"/>
                <w:sz w:val="20"/>
                <w:szCs w:val="20"/>
              </w:rPr>
              <m:t>m</m:t>
            </m:r>
            <m:ctrlPr>
              <w:rPr>
                <w:rFonts w:ascii="Cambria Math" w:hAnsi="Cambria Math"/>
                <w:sz w:val="20"/>
                <w:szCs w:val="20"/>
              </w:rPr>
            </m:ctrlPr>
          </m:e>
          <m:sub>
            <m:r>
              <m:rPr/>
              <w:rPr>
                <w:rFonts w:ascii="Cambria Math"/>
                <w:sz w:val="20"/>
                <w:szCs w:val="20"/>
              </w:rPr>
              <m:t>4</m:t>
            </m:r>
            <m:ctrlPr>
              <w:rPr>
                <w:rFonts w:ascii="Cambria Math" w:hAnsi="Cambria Math"/>
                <w:sz w:val="20"/>
                <w:szCs w:val="20"/>
              </w:rPr>
            </m:ctrlPr>
          </m:sub>
        </m:sSub>
        <m:r>
          <m:rPr/>
          <w:rPr>
            <w:rFonts w:ascii="Cambria Math"/>
            <w:sz w:val="20"/>
            <w:szCs w:val="20"/>
          </w:rPr>
          <m:t>)</m:t>
        </m:r>
      </m:oMath>
      <w:r>
        <w:rPr>
          <w:rFonts w:ascii="Times New Roman" w:hAnsi="Times New Roman" w:cs="Times New Roman"/>
          <w:sz w:val="20"/>
          <w:szCs w:val="20"/>
        </w:rPr>
        <w:t xml:space="preserve">,where </w:t>
      </w:r>
      <m:oMath>
        <m:sSub>
          <m:sSubPr>
            <m:ctrlPr>
              <w:rPr>
                <w:rFonts w:ascii="Cambria Math" w:hAnsi="Cambria Math"/>
                <w:sz w:val="20"/>
                <w:szCs w:val="20"/>
              </w:rPr>
            </m:ctrlPr>
          </m:sSubPr>
          <m:e>
            <m:r>
              <m:rPr/>
              <w:rPr>
                <w:rFonts w:ascii="Cambria Math"/>
                <w:sz w:val="20"/>
                <w:szCs w:val="20"/>
              </w:rPr>
              <m:t>m</m:t>
            </m:r>
            <m:ctrlPr>
              <w:rPr>
                <w:rFonts w:ascii="Cambria Math" w:hAnsi="Cambria Math"/>
                <w:sz w:val="20"/>
                <w:szCs w:val="20"/>
              </w:rPr>
            </m:ctrlPr>
          </m:e>
          <m:sub>
            <m:r>
              <m:rPr/>
              <w:rPr>
                <w:rFonts w:ascii="Cambria Math"/>
                <w:sz w:val="20"/>
                <w:szCs w:val="20"/>
              </w:rPr>
              <m:t>i</m:t>
            </m:r>
            <m:ctrlPr>
              <w:rPr>
                <w:rFonts w:ascii="Cambria Math" w:hAnsi="Cambria Math"/>
                <w:sz w:val="20"/>
                <w:szCs w:val="20"/>
              </w:rPr>
            </m:ctrlPr>
          </m:sub>
        </m:sSub>
        <m:r>
          <m:rPr/>
          <w:rPr>
            <w:rFonts w:ascii="Cambria Math"/>
            <w:sz w:val="20"/>
            <w:szCs w:val="20"/>
          </w:rPr>
          <m:t>∈{0,1}</m:t>
        </m:r>
      </m:oMath>
      <w:r>
        <w:rPr>
          <w:rFonts w:ascii="Times New Roman" w:hAnsi="Times New Roman" w:cs="Times New Roman"/>
          <w:sz w:val="20"/>
          <w:szCs w:val="20"/>
        </w:rPr>
        <w:t xml:space="preserve"> correspond respectively to the two preferences for E/I, S/N, T/F, J/P dimensions. Define the action space</w:t>
      </w:r>
      <m:oMath>
        <m:r>
          <m:rPr>
            <m:scr m:val="script"/>
          </m:rPr>
          <w:rPr>
            <w:rFonts w:ascii="Cambria Math"/>
            <w:sz w:val="20"/>
            <w:szCs w:val="20"/>
          </w:rPr>
          <m:t>A={</m:t>
        </m:r>
        <m:r>
          <m:rPr/>
          <w:rPr>
            <w:rFonts w:ascii="Cambria Math"/>
            <w:sz w:val="20"/>
            <w:szCs w:val="20"/>
          </w:rPr>
          <m:t>work,chat,rest,meeting,move}</m:t>
        </m:r>
      </m:oMath>
      <w:r>
        <w:rPr>
          <w:rFonts w:ascii="Times New Roman" w:hAnsi="Times New Roman" w:cs="Times New Roman"/>
          <w:sz w:val="20"/>
          <w:szCs w:val="20"/>
        </w:rPr>
        <w:t xml:space="preserve">, base weight vector </w:t>
      </w:r>
      <m:oMath>
        <m:sSub>
          <m:sSubPr>
            <m:ctrlPr>
              <w:rPr>
                <w:rFonts w:ascii="Cambria Math" w:hAnsi="Cambria Math"/>
                <w:sz w:val="20"/>
                <w:szCs w:val="20"/>
              </w:rPr>
            </m:ctrlPr>
          </m:sSubPr>
          <m:e>
            <m:r>
              <m:rPr>
                <m:sty m:val="bi"/>
              </m:rPr>
              <w:rPr>
                <w:rFonts w:ascii="Cambria Math"/>
                <w:sz w:val="20"/>
                <w:szCs w:val="20"/>
              </w:rPr>
              <m:t>W</m:t>
            </m:r>
            <m:ctrlPr>
              <w:rPr>
                <w:rFonts w:ascii="Cambria Math" w:hAnsi="Cambria Math"/>
                <w:sz w:val="20"/>
                <w:szCs w:val="20"/>
              </w:rPr>
            </m:ctrlPr>
          </m:e>
          <m:sub>
            <m:r>
              <m:rPr/>
              <w:rPr>
                <w:rFonts w:ascii="Cambria Math"/>
                <w:sz w:val="20"/>
                <w:szCs w:val="20"/>
              </w:rPr>
              <m:t>0</m:t>
            </m:r>
            <m:ctrlPr>
              <w:rPr>
                <w:rFonts w:ascii="Cambria Math" w:hAnsi="Cambria Math"/>
                <w:sz w:val="20"/>
                <w:szCs w:val="20"/>
              </w:rPr>
            </m:ctrlPr>
          </m:sub>
        </m:sSub>
        <m:r>
          <m:rPr/>
          <w:rPr>
            <w:rFonts w:ascii="Cambria Math"/>
            <w:sz w:val="20"/>
            <w:szCs w:val="20"/>
          </w:rPr>
          <m:t>∈</m:t>
        </m:r>
        <m:sSup>
          <m:sSupPr>
            <m:ctrlPr>
              <w:rPr>
                <w:rFonts w:ascii="Cambria Math" w:hAnsi="Cambria Math"/>
                <w:sz w:val="20"/>
                <w:szCs w:val="20"/>
              </w:rPr>
            </m:ctrlPr>
          </m:sSupPr>
          <m:e>
            <m:r>
              <m:rPr>
                <m:scr m:val="double-struck"/>
              </m:rPr>
              <w:rPr>
                <w:rFonts w:ascii="Cambria Math"/>
                <w:sz w:val="20"/>
                <w:szCs w:val="20"/>
              </w:rPr>
              <m:t>ℝ</m:t>
            </m:r>
            <m:ctrlPr>
              <w:rPr>
                <w:rFonts w:ascii="Cambria Math" w:hAnsi="Cambria Math"/>
                <w:sz w:val="20"/>
                <w:szCs w:val="20"/>
              </w:rPr>
            </m:ctrlPr>
          </m:e>
          <m:sup>
            <m:r>
              <m:rPr/>
              <w:rPr>
                <w:rFonts w:ascii="Cambria Math"/>
                <w:sz w:val="20"/>
                <w:szCs w:val="20"/>
              </w:rPr>
              <m:t>5</m:t>
            </m:r>
            <m:ctrlPr>
              <w:rPr>
                <w:rFonts w:ascii="Cambria Math" w:hAnsi="Cambria Math"/>
                <w:sz w:val="20"/>
                <w:szCs w:val="20"/>
              </w:rPr>
            </m:ctrlPr>
          </m:sup>
        </m:sSup>
      </m:oMath>
      <w:r>
        <w:rPr>
          <w:rFonts w:ascii="Times New Roman" w:hAnsi="Times New Roman" w:cs="Times New Roman"/>
          <w:sz w:val="20"/>
          <w:szCs w:val="20"/>
        </w:rPr>
        <w:t>. The influence of MBTI on actions is described through the dimension weight increment matrix</w:t>
      </w:r>
      <w:r>
        <w:rPr>
          <w:rFonts w:hint="eastAsia" w:ascii="Times New Roman" w:hAnsi="Times New Roman" w:cs="Times New Roman"/>
          <w:sz w:val="20"/>
          <w:szCs w:val="20"/>
        </w:rPr>
        <w:t xml:space="preserve"> </w:t>
      </w:r>
      <w:r>
        <w:rPr>
          <w:rFonts w:ascii="Times New Roman" w:hAnsi="Times New Roman" w:cs="Times New Roman"/>
          <w:sz w:val="20"/>
          <w:szCs w:val="20"/>
        </w:rPr>
        <w:t>Δ</w:t>
      </w:r>
      <w:r>
        <w:rPr>
          <w:rFonts w:hint="eastAsia" w:ascii="宋体" w:hAnsi="宋体" w:eastAsia="宋体" w:cs="宋体"/>
          <w:sz w:val="20"/>
          <w:szCs w:val="20"/>
        </w:rPr>
        <w:t>∈</w:t>
      </w:r>
      <w:r>
        <w:rPr>
          <w:rFonts w:ascii="Times New Roman" w:hAnsi="Times New Roman" w:cs="Times New Roman"/>
          <w:sz w:val="20"/>
          <w:szCs w:val="20"/>
        </w:rPr>
        <w:t>R</w:t>
      </w:r>
      <w:r>
        <w:rPr>
          <w:rFonts w:ascii="Times New Roman" w:hAnsi="Times New Roman" w:cs="Times New Roman"/>
          <w:sz w:val="20"/>
          <w:szCs w:val="20"/>
          <w:vertAlign w:val="superscript"/>
        </w:rPr>
        <w:t>4×5</w:t>
      </w:r>
      <w:r>
        <w:rPr>
          <w:rFonts w:ascii="Times New Roman" w:hAnsi="Times New Roman" w:cs="Times New Roman"/>
          <w:sz w:val="20"/>
          <w:szCs w:val="20"/>
        </w:rPr>
        <w:t>, with the mapping process defined as: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5F3E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7797" w:type="dxa"/>
            <w:tcBorders>
              <w:top w:val="nil"/>
              <w:left w:val="nil"/>
              <w:bottom w:val="nil"/>
              <w:right w:val="nil"/>
              <w:tl2br w:val="nil"/>
            </w:tcBorders>
            <w:shd w:val="clear" w:color="auto" w:fill="FFFFFF"/>
            <w:vAlign w:val="center"/>
          </w:tcPr>
          <w:p w14:paraId="69E25C48">
            <w:pPr>
              <w:adjustRightInd w:val="0"/>
              <w:snapToGrid w:val="0"/>
              <w:spacing w:line="228" w:lineRule="auto"/>
              <w:jc w:val="center"/>
              <w:rPr>
                <w:rFonts w:ascii="Times New Roman" w:hAnsi="Times New Roman" w:cs="Times New Roman"/>
                <w:color w:val="000000"/>
                <w:sz w:val="16"/>
                <w:szCs w:val="16"/>
              </w:rPr>
            </w:pPr>
            <m:oMathPara>
              <m:oMathParaPr>
                <m:jc m:val="left"/>
              </m:oMathParaPr>
              <m:oMath>
                <m:r>
                  <m:rPr/>
                  <w:rPr>
                    <w:rFonts w:ascii="Cambria Math" w:hAnsi="Cambria Math"/>
                    <w:color w:val="000000"/>
                    <w:sz w:val="16"/>
                    <w:szCs w:val="16"/>
                  </w:rPr>
                  <m:t>W(m)=</m:t>
                </m:r>
                <m:sSub>
                  <m:sSubPr>
                    <m:ctrlPr>
                      <w:rPr>
                        <w:rFonts w:ascii="Cambria Math" w:hAnsi="Cambria Math"/>
                        <w:color w:val="000000"/>
                        <w:sz w:val="16"/>
                        <w:szCs w:val="16"/>
                      </w:rPr>
                    </m:ctrlPr>
                  </m:sSubPr>
                  <m:e>
                    <m:r>
                      <m:rPr/>
                      <w:rPr>
                        <w:rFonts w:ascii="Cambria Math" w:hAnsi="Cambria Math"/>
                        <w:color w:val="000000"/>
                        <w:sz w:val="16"/>
                        <w:szCs w:val="16"/>
                      </w:rPr>
                      <m:t>W</m:t>
                    </m:r>
                    <m:ctrlPr>
                      <w:rPr>
                        <w:rFonts w:ascii="Cambria Math" w:hAnsi="Cambria Math"/>
                        <w:color w:val="000000"/>
                        <w:sz w:val="16"/>
                        <w:szCs w:val="16"/>
                      </w:rPr>
                    </m:ctrlPr>
                  </m:e>
                  <m:sub>
                    <m:r>
                      <m:rPr/>
                      <w:rPr>
                        <w:rFonts w:ascii="Cambria Math" w:hAnsi="Cambria Math"/>
                        <w:color w:val="000000"/>
                        <w:sz w:val="16"/>
                        <w:szCs w:val="16"/>
                      </w:rPr>
                      <m:t>0</m:t>
                    </m:r>
                    <m:ctrlPr>
                      <w:rPr>
                        <w:rFonts w:ascii="Cambria Math" w:hAnsi="Cambria Math"/>
                        <w:color w:val="000000"/>
                        <w:sz w:val="16"/>
                        <w:szCs w:val="16"/>
                      </w:rPr>
                    </m:ctrlPr>
                  </m:sub>
                </m:sSub>
                <m:r>
                  <m:rPr/>
                  <w:rPr>
                    <w:rFonts w:ascii="Cambria Math" w:hAnsi="Cambria Math"/>
                    <w:color w:val="000000"/>
                    <w:sz w:val="16"/>
                    <w:szCs w:val="16"/>
                  </w:rPr>
                  <m:t>+</m:t>
                </m:r>
                <m:nary>
                  <m:naryPr>
                    <m:chr m:val="∑"/>
                    <m:limLoc m:val="undOvr"/>
                    <m:ctrlPr>
                      <w:rPr>
                        <w:rFonts w:ascii="Cambria Math" w:hAnsi="Cambria Math"/>
                        <w:i/>
                        <w:color w:val="000000"/>
                        <w:sz w:val="16"/>
                        <w:szCs w:val="16"/>
                      </w:rPr>
                    </m:ctrlPr>
                  </m:naryPr>
                  <m:sub>
                    <m:r>
                      <m:rPr/>
                      <w:rPr>
                        <w:rFonts w:ascii="Cambria Math" w:hAnsi="Cambria Math"/>
                        <w:color w:val="000000"/>
                        <w:sz w:val="16"/>
                        <w:szCs w:val="16"/>
                      </w:rPr>
                      <m:t>i=1</m:t>
                    </m:r>
                    <m:ctrlPr>
                      <w:rPr>
                        <w:rFonts w:ascii="Cambria Math" w:hAnsi="Cambria Math"/>
                        <w:color w:val="000000"/>
                        <w:sz w:val="16"/>
                        <w:szCs w:val="16"/>
                      </w:rPr>
                    </m:ctrlPr>
                  </m:sub>
                  <m:sup>
                    <m:r>
                      <m:rPr/>
                      <w:rPr>
                        <w:rFonts w:ascii="Cambria Math" w:hAnsi="Cambria Math"/>
                        <w:color w:val="000000"/>
                        <w:sz w:val="16"/>
                        <w:szCs w:val="16"/>
                      </w:rPr>
                      <m:t>4</m:t>
                    </m:r>
                    <m:ctrlPr>
                      <w:rPr>
                        <w:rFonts w:ascii="Cambria Math" w:hAnsi="Cambria Math"/>
                        <w:color w:val="000000"/>
                        <w:sz w:val="16"/>
                        <w:szCs w:val="16"/>
                      </w:rPr>
                    </m:ctrlPr>
                  </m:sup>
                  <m:e>
                    <m:sSub>
                      <m:sSubPr>
                        <m:ctrlPr>
                          <w:rPr>
                            <w:rFonts w:ascii="Cambria Math" w:hAnsi="Cambria Math"/>
                            <w:color w:val="000000"/>
                            <w:sz w:val="16"/>
                            <w:szCs w:val="16"/>
                          </w:rPr>
                        </m:ctrlPr>
                      </m:sSubPr>
                      <m:e>
                        <m:r>
                          <m:rPr/>
                          <w:rPr>
                            <w:rFonts w:ascii="Cambria Math" w:hAnsi="Cambria Math"/>
                            <w:color w:val="000000"/>
                            <w:sz w:val="16"/>
                            <w:szCs w:val="16"/>
                          </w:rPr>
                          <m:t>m</m:t>
                        </m:r>
                        <m:ctrlPr>
                          <w:rPr>
                            <w:rFonts w:ascii="Cambria Math" w:hAnsi="Cambria Math"/>
                            <w:color w:val="000000"/>
                            <w:sz w:val="16"/>
                            <w:szCs w:val="16"/>
                          </w:rPr>
                        </m:ctrlPr>
                      </m:e>
                      <m:sub>
                        <m:r>
                          <m:rPr/>
                          <w:rPr>
                            <w:rFonts w:ascii="Cambria Math" w:hAnsi="Cambria Math"/>
                            <w:color w:val="000000"/>
                            <w:sz w:val="16"/>
                            <w:szCs w:val="16"/>
                          </w:rPr>
                          <m:t>i</m:t>
                        </m:r>
                        <m:ctrlPr>
                          <w:rPr>
                            <w:rFonts w:ascii="Cambria Math" w:hAnsi="Cambria Math"/>
                            <w:color w:val="000000"/>
                            <w:sz w:val="16"/>
                            <w:szCs w:val="16"/>
                          </w:rPr>
                        </m:ctrlPr>
                      </m:sub>
                    </m:sSub>
                    <m:ctrlPr>
                      <w:rPr>
                        <w:rFonts w:ascii="Cambria Math" w:hAnsi="Cambria Math"/>
                        <w:color w:val="000000"/>
                        <w:sz w:val="16"/>
                        <w:szCs w:val="16"/>
                      </w:rPr>
                    </m:ctrlPr>
                  </m:e>
                </m:nary>
                <m:r>
                  <m:rPr/>
                  <w:rPr>
                    <w:rFonts w:ascii="Cambria Math" w:hAnsi="Cambria Math"/>
                    <w:color w:val="000000"/>
                    <w:sz w:val="16"/>
                    <w:szCs w:val="16"/>
                  </w:rPr>
                  <m:t>⋅</m:t>
                </m:r>
                <m:sSub>
                  <m:sSubPr>
                    <m:ctrlPr>
                      <w:rPr>
                        <w:rFonts w:ascii="Cambria Math" w:hAnsi="Cambria Math"/>
                        <w:color w:val="000000"/>
                        <w:sz w:val="16"/>
                        <w:szCs w:val="16"/>
                      </w:rPr>
                    </m:ctrlPr>
                  </m:sSubPr>
                  <m:e>
                    <m:r>
                      <m:rPr>
                        <m:sty m:val="p"/>
                      </m:rPr>
                      <w:rPr>
                        <w:rFonts w:ascii="Cambria Math" w:hAnsi="Cambria Math"/>
                        <w:color w:val="000000"/>
                        <w:sz w:val="16"/>
                        <w:szCs w:val="16"/>
                      </w:rPr>
                      <m:t>Δ</m:t>
                    </m:r>
                    <m:ctrlPr>
                      <w:rPr>
                        <w:rFonts w:ascii="Cambria Math" w:hAnsi="Cambria Math"/>
                        <w:color w:val="000000"/>
                        <w:sz w:val="16"/>
                        <w:szCs w:val="16"/>
                      </w:rPr>
                    </m:ctrlPr>
                  </m:e>
                  <m:sub>
                    <m:r>
                      <m:rPr/>
                      <w:rPr>
                        <w:rFonts w:ascii="Cambria Math" w:hAnsi="Cambria Math"/>
                        <w:color w:val="000000"/>
                        <w:sz w:val="16"/>
                        <w:szCs w:val="16"/>
                      </w:rPr>
                      <m:t>i</m:t>
                    </m:r>
                    <m:ctrlPr>
                      <w:rPr>
                        <w:rFonts w:ascii="Cambria Math" w:hAnsi="Cambria Math"/>
                        <w:color w:val="000000"/>
                        <w:sz w:val="16"/>
                        <w:szCs w:val="16"/>
                      </w:rPr>
                    </m:ctrlPr>
                  </m:sub>
                </m:sSub>
              </m:oMath>
            </m:oMathPara>
          </w:p>
        </w:tc>
        <w:tc>
          <w:tcPr>
            <w:tcW w:w="725" w:type="dxa"/>
            <w:tcBorders>
              <w:top w:val="nil"/>
              <w:left w:val="nil"/>
              <w:bottom w:val="nil"/>
              <w:right w:val="nil"/>
            </w:tcBorders>
            <w:shd w:val="clear" w:color="auto" w:fill="FFFFFF"/>
            <w:vAlign w:val="center"/>
          </w:tcPr>
          <w:p w14:paraId="2BFB3576">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(1)</w:t>
            </w:r>
          </w:p>
        </w:tc>
      </w:tr>
    </w:tbl>
    <w:p w14:paraId="048B306D">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Action probabilities are obtained through normalization: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7A95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7797" w:type="dxa"/>
            <w:tcBorders>
              <w:top w:val="nil"/>
              <w:left w:val="nil"/>
              <w:bottom w:val="nil"/>
              <w:right w:val="nil"/>
              <w:tl2br w:val="nil"/>
            </w:tcBorders>
            <w:shd w:val="clear" w:color="auto" w:fill="FFFFFF"/>
            <w:vAlign w:val="center"/>
          </w:tcPr>
          <w:p w14:paraId="6ACD68F6">
            <w:pPr>
              <w:adjustRightInd w:val="0"/>
              <w:snapToGrid w:val="0"/>
              <w:spacing w:line="228" w:lineRule="auto"/>
              <w:jc w:val="center"/>
              <w:rPr>
                <w:rFonts w:ascii="Times New Roman" w:hAnsi="Times New Roman" w:cs="Times New Roman"/>
                <w:color w:val="000000"/>
                <w:sz w:val="16"/>
                <w:szCs w:val="16"/>
              </w:rPr>
            </w:pPr>
            <m:oMathPara>
              <m:oMathParaPr>
                <m:jc m:val="left"/>
              </m:oMathParaPr>
              <m:oMath>
                <m:r>
                  <m:rPr/>
                  <w:rPr>
                    <w:rFonts w:ascii="Cambria Math"/>
                    <w:sz w:val="16"/>
                    <w:szCs w:val="16"/>
                  </w:rPr>
                  <m:t>P(a∣</m:t>
                </m:r>
                <m:r>
                  <m:rPr>
                    <m:sty m:val="bi"/>
                  </m:rPr>
                  <w:rPr>
                    <w:rFonts w:ascii="Cambria Math"/>
                    <w:sz w:val="16"/>
                    <w:szCs w:val="16"/>
                  </w:rPr>
                  <m:t>m</m:t>
                </m:r>
                <m:r>
                  <m:rPr/>
                  <w:rPr>
                    <w:rFonts w:ascii="Cambria Math"/>
                    <w:sz w:val="16"/>
                    <w:szCs w:val="16"/>
                  </w:rPr>
                  <m:t>)=</m:t>
                </m:r>
                <m:f>
                  <m:fPr>
                    <m:ctrlPr>
                      <w:rPr>
                        <w:rFonts w:ascii="Cambria Math" w:hAnsi="Cambria Math"/>
                        <w:i/>
                        <w:sz w:val="16"/>
                        <w:szCs w:val="16"/>
                      </w:rPr>
                    </m:ctrlPr>
                  </m:fPr>
                  <m:num>
                    <m:sSub>
                      <m:sSubPr>
                        <m:ctrlPr>
                          <w:rPr>
                            <w:rFonts w:ascii="Cambria Math" w:hAnsi="Cambria Math"/>
                            <w:sz w:val="16"/>
                            <w:szCs w:val="16"/>
                          </w:rPr>
                        </m:ctrlPr>
                      </m:sSubPr>
                      <m:e>
                        <m:r>
                          <m:rPr/>
                          <w:rPr>
                            <w:rFonts w:ascii="Cambria Math"/>
                            <w:sz w:val="16"/>
                            <w:szCs w:val="16"/>
                          </w:rPr>
                          <m:t>W</m:t>
                        </m:r>
                        <m:ctrlPr>
                          <w:rPr>
                            <w:rFonts w:ascii="Cambria Math" w:hAnsi="Cambria Math"/>
                            <w:sz w:val="16"/>
                            <w:szCs w:val="16"/>
                          </w:rPr>
                        </m:ctrlPr>
                      </m:e>
                      <m:sub>
                        <m:r>
                          <m:rPr/>
                          <w:rPr>
                            <w:rFonts w:ascii="Cambria Math"/>
                            <w:sz w:val="16"/>
                            <w:szCs w:val="16"/>
                          </w:rPr>
                          <m:t>a</m:t>
                        </m:r>
                        <m:ctrlPr>
                          <w:rPr>
                            <w:rFonts w:ascii="Cambria Math" w:hAnsi="Cambria Math"/>
                            <w:sz w:val="16"/>
                            <w:szCs w:val="16"/>
                          </w:rPr>
                        </m:ctrlPr>
                      </m:sub>
                    </m:sSub>
                    <m:r>
                      <m:rPr/>
                      <w:rPr>
                        <w:rFonts w:ascii="Cambria Math"/>
                        <w:sz w:val="16"/>
                        <w:szCs w:val="16"/>
                      </w:rPr>
                      <m:t>(</m:t>
                    </m:r>
                    <m:r>
                      <m:rPr>
                        <m:sty m:val="bi"/>
                      </m:rPr>
                      <w:rPr>
                        <w:rFonts w:ascii="Cambria Math"/>
                        <w:sz w:val="16"/>
                        <w:szCs w:val="16"/>
                      </w:rPr>
                      <m:t>m</m:t>
                    </m:r>
                    <m:r>
                      <m:rPr/>
                      <w:rPr>
                        <w:rFonts w:ascii="Cambria Math"/>
                        <w:sz w:val="16"/>
                        <w:szCs w:val="16"/>
                      </w:rPr>
                      <m:t>)</m:t>
                    </m:r>
                    <m:ctrlPr>
                      <w:rPr>
                        <w:rFonts w:ascii="Cambria Math" w:hAnsi="Cambria Math"/>
                        <w:sz w:val="16"/>
                        <w:szCs w:val="16"/>
                      </w:rPr>
                    </m:ctrlPr>
                  </m:num>
                  <m:den>
                    <m:nary>
                      <m:naryPr>
                        <m:chr m:val="∑"/>
                        <m:limLoc m:val="undOvr"/>
                        <m:supHide m:val="1"/>
                        <m:ctrlPr>
                          <w:rPr>
                            <w:rFonts w:ascii="Cambria Math" w:hAnsi="Cambria Math"/>
                            <w:i/>
                            <w:sz w:val="16"/>
                            <w:szCs w:val="16"/>
                          </w:rPr>
                        </m:ctrlPr>
                      </m:naryPr>
                      <m:sub>
                        <m:r>
                          <m:rPr/>
                          <w:rPr>
                            <w:rFonts w:ascii="Cambria Math"/>
                            <w:sz w:val="16"/>
                            <w:szCs w:val="16"/>
                          </w:rPr>
                          <m:t>a'∈</m:t>
                        </m:r>
                        <m:r>
                          <m:rPr>
                            <m:scr m:val="script"/>
                          </m:rPr>
                          <w:rPr>
                            <w:rFonts w:ascii="Cambria Math"/>
                            <w:sz w:val="16"/>
                            <w:szCs w:val="16"/>
                          </w:rPr>
                          <m:t>A</m:t>
                        </m:r>
                        <m:ctrlPr>
                          <w:rPr>
                            <w:rFonts w:ascii="Cambria Math" w:hAnsi="Cambria Math"/>
                            <w:sz w:val="16"/>
                            <w:szCs w:val="16"/>
                          </w:rPr>
                        </m:ctrlPr>
                      </m:sub>
                      <m:sup>
                        <m:ctrlPr>
                          <w:rPr>
                            <w:rFonts w:ascii="Cambria Math" w:hAnsi="Cambria Math"/>
                            <w:sz w:val="16"/>
                            <w:szCs w:val="16"/>
                          </w:rPr>
                        </m:ctrlPr>
                      </m:sup>
                      <m:e>
                        <m:sSub>
                          <m:sSubPr>
                            <m:ctrlPr>
                              <w:rPr>
                                <w:rFonts w:ascii="Cambria Math" w:hAnsi="Cambria Math"/>
                                <w:sz w:val="16"/>
                                <w:szCs w:val="16"/>
                              </w:rPr>
                            </m:ctrlPr>
                          </m:sSubPr>
                          <m:e>
                            <m:r>
                              <m:rPr/>
                              <w:rPr>
                                <w:rFonts w:ascii="Cambria Math"/>
                                <w:sz w:val="16"/>
                                <w:szCs w:val="16"/>
                              </w:rPr>
                              <m:t>W</m:t>
                            </m:r>
                            <m:ctrlPr>
                              <w:rPr>
                                <w:rFonts w:ascii="Cambria Math" w:hAnsi="Cambria Math"/>
                                <w:sz w:val="16"/>
                                <w:szCs w:val="16"/>
                              </w:rPr>
                            </m:ctrlPr>
                          </m:e>
                          <m:sub>
                            <m:r>
                              <m:rPr/>
                              <w:rPr>
                                <w:rFonts w:ascii="Cambria Math"/>
                                <w:sz w:val="16"/>
                                <w:szCs w:val="16"/>
                              </w:rPr>
                              <m:t>a'</m:t>
                            </m:r>
                            <m:ctrlPr>
                              <w:rPr>
                                <w:rFonts w:ascii="Cambria Math" w:hAnsi="Cambria Math"/>
                                <w:sz w:val="16"/>
                                <w:szCs w:val="16"/>
                              </w:rPr>
                            </m:ctrlPr>
                          </m:sub>
                        </m:sSub>
                        <m:ctrlPr>
                          <w:rPr>
                            <w:rFonts w:ascii="Cambria Math" w:hAnsi="Cambria Math"/>
                            <w:sz w:val="16"/>
                            <w:szCs w:val="16"/>
                          </w:rPr>
                        </m:ctrlPr>
                      </m:e>
                    </m:nary>
                    <m:r>
                      <m:rPr/>
                      <w:rPr>
                        <w:rFonts w:ascii="Cambria Math"/>
                        <w:sz w:val="16"/>
                        <w:szCs w:val="16"/>
                      </w:rPr>
                      <m:t>(</m:t>
                    </m:r>
                    <m:r>
                      <m:rPr>
                        <m:sty m:val="bi"/>
                      </m:rPr>
                      <w:rPr>
                        <w:rFonts w:ascii="Cambria Math"/>
                        <w:sz w:val="16"/>
                        <w:szCs w:val="16"/>
                      </w:rPr>
                      <m:t>m</m:t>
                    </m:r>
                    <m:r>
                      <m:rPr/>
                      <w:rPr>
                        <w:rFonts w:ascii="Cambria Math"/>
                        <w:sz w:val="16"/>
                        <w:szCs w:val="16"/>
                      </w:rPr>
                      <m:t>)</m:t>
                    </m:r>
                    <m:ctrlPr>
                      <w:rPr>
                        <w:rFonts w:ascii="Cambria Math" w:hAnsi="Cambria Math"/>
                        <w:i/>
                        <w:sz w:val="16"/>
                        <w:szCs w:val="16"/>
                      </w:rPr>
                    </m:ctrlPr>
                  </m:den>
                </m:f>
              </m:oMath>
            </m:oMathPara>
          </w:p>
        </w:tc>
        <w:tc>
          <w:tcPr>
            <w:tcW w:w="725" w:type="dxa"/>
            <w:tcBorders>
              <w:top w:val="nil"/>
              <w:left w:val="nil"/>
              <w:bottom w:val="nil"/>
              <w:right w:val="nil"/>
            </w:tcBorders>
            <w:shd w:val="clear" w:color="auto" w:fill="FFFFFF"/>
            <w:vAlign w:val="center"/>
          </w:tcPr>
          <w:p w14:paraId="65409B61">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2</w:t>
            </w:r>
            <w:r>
              <w:rPr>
                <w:rFonts w:ascii="Times New Roman" w:hAnsi="Times New Roman" w:cs="Times New Roman"/>
                <w:color w:val="000000"/>
                <w:sz w:val="20"/>
                <w:szCs w:val="20"/>
              </w:rPr>
              <w:t>)</w:t>
            </w:r>
          </w:p>
        </w:tc>
      </w:tr>
    </w:tbl>
    <w:p w14:paraId="4191487D">
      <w:pPr>
        <w:adjustRightInd w:val="0"/>
        <w:snapToGrid w:val="0"/>
        <w:spacing w:line="228" w:lineRule="auto"/>
        <w:rPr>
          <w:rFonts w:ascii="Times New Roman" w:hAnsi="Times New Roman" w:cs="Times New Roman"/>
          <w:sz w:val="20"/>
          <w:szCs w:val="20"/>
        </w:rPr>
      </w:pPr>
      <w:r>
        <w:rPr>
          <w:rFonts w:hint="eastAsia" w:ascii="Times New Roman" w:hAnsi="Times New Roman" w:cs="Times New Roman"/>
          <w:sz w:val="20"/>
          <w:szCs w:val="20"/>
        </w:rPr>
        <w:t xml:space="preserve">The specific dimension weight increment matrix Δ is shown in Table 3. </w:t>
      </w:r>
    </w:p>
    <w:p w14:paraId="4EDC55EA">
      <w:pPr>
        <w:adjustRightInd w:val="0"/>
        <w:snapToGrid w:val="0"/>
        <w:spacing w:line="228" w:lineRule="auto"/>
        <w:jc w:val="left"/>
        <w:rPr>
          <w:rFonts w:ascii="Times New Roman" w:hAnsi="Times New Roman" w:cs="Times New Roman"/>
          <w:b/>
          <w:sz w:val="16"/>
          <w:szCs w:val="16"/>
        </w:rPr>
      </w:pPr>
    </w:p>
    <w:p w14:paraId="5AF12889">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Table 3</w:t>
      </w:r>
    </w:p>
    <w:p w14:paraId="75D8DEA7">
      <w:pPr>
        <w:adjustRightInd w:val="0"/>
        <w:snapToGrid w:val="0"/>
        <w:spacing w:line="228" w:lineRule="auto"/>
        <w:jc w:val="left"/>
        <w:rPr>
          <w:rFonts w:ascii="Times New Roman" w:hAnsi="Times New Roman" w:cs="Times New Roman"/>
          <w:b w:val="0"/>
          <w:bCs/>
          <w:sz w:val="16"/>
          <w:szCs w:val="16"/>
        </w:rPr>
      </w:pPr>
      <w:r>
        <w:rPr>
          <w:rFonts w:hint="eastAsia" w:ascii="Times New Roman" w:hAnsi="Times New Roman" w:cs="Times New Roman"/>
          <w:b w:val="0"/>
          <w:bCs/>
          <w:sz w:val="16"/>
          <w:szCs w:val="16"/>
        </w:rPr>
        <w:t>MBTI-driven parameterization rules across action weighting, task preference, and efficiency layers</w:t>
      </w:r>
    </w:p>
    <w:tbl>
      <w:tblPr>
        <w:tblStyle w:val="8"/>
        <w:tblW w:w="0" w:type="auto"/>
        <w:tblInd w:w="116"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4"/>
        <w:gridCol w:w="1415"/>
        <w:gridCol w:w="1136"/>
        <w:gridCol w:w="1226"/>
        <w:gridCol w:w="3445"/>
      </w:tblGrid>
      <w:tr w14:paraId="5B585E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1184" w:type="dxa"/>
            <w:tcBorders>
              <w:top w:val="single" w:color="auto" w:sz="4" w:space="0"/>
              <w:bottom w:val="single" w:color="auto" w:sz="4" w:space="0"/>
            </w:tcBorders>
            <w:vAlign w:val="center"/>
          </w:tcPr>
          <w:p w14:paraId="1BE2950C">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Dimension</w:t>
            </w:r>
          </w:p>
        </w:tc>
        <w:tc>
          <w:tcPr>
            <w:tcW w:w="1415" w:type="dxa"/>
            <w:tcBorders>
              <w:top w:val="single" w:color="auto" w:sz="4" w:space="0"/>
              <w:bottom w:val="single" w:color="auto" w:sz="4" w:space="0"/>
            </w:tcBorders>
            <w:vAlign w:val="center"/>
          </w:tcPr>
          <w:p w14:paraId="5E7CA1E2">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Preference</w:t>
            </w:r>
          </w:p>
        </w:tc>
        <w:tc>
          <w:tcPr>
            <w:tcW w:w="1136" w:type="dxa"/>
            <w:tcBorders>
              <w:top w:val="single" w:color="auto" w:sz="4" w:space="0"/>
              <w:bottom w:val="single" w:color="auto" w:sz="4" w:space="0"/>
            </w:tcBorders>
            <w:vAlign w:val="center"/>
          </w:tcPr>
          <w:p w14:paraId="6E5B419A">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Behavior Adjustment</w:t>
            </w:r>
          </w:p>
        </w:tc>
        <w:tc>
          <w:tcPr>
            <w:tcW w:w="1226" w:type="dxa"/>
            <w:tcBorders>
              <w:top w:val="single" w:color="auto" w:sz="4" w:space="0"/>
              <w:bottom w:val="single" w:color="auto" w:sz="4" w:space="0"/>
            </w:tcBorders>
            <w:vAlign w:val="center"/>
          </w:tcPr>
          <w:p w14:paraId="3DF09D5E">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Weight Increment</w:t>
            </w:r>
          </w:p>
        </w:tc>
        <w:tc>
          <w:tcPr>
            <w:tcW w:w="3445" w:type="dxa"/>
            <w:tcBorders>
              <w:top w:val="single" w:color="auto" w:sz="4" w:space="0"/>
              <w:bottom w:val="single" w:color="auto" w:sz="4" w:space="0"/>
            </w:tcBorders>
            <w:vAlign w:val="center"/>
          </w:tcPr>
          <w:p w14:paraId="52D1F2B1">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Behavioral Explanation</w:t>
            </w:r>
          </w:p>
        </w:tc>
      </w:tr>
      <w:tr w14:paraId="41A159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184" w:type="dxa"/>
            <w:tcBorders>
              <w:top w:val="single" w:color="auto" w:sz="4" w:space="0"/>
            </w:tcBorders>
            <w:vAlign w:val="center"/>
          </w:tcPr>
          <w:p w14:paraId="682C15B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E/I</w:t>
            </w:r>
          </w:p>
        </w:tc>
        <w:tc>
          <w:tcPr>
            <w:tcW w:w="1415" w:type="dxa"/>
            <w:tcBorders>
              <w:top w:val="single" w:color="auto" w:sz="4" w:space="0"/>
            </w:tcBorders>
            <w:vAlign w:val="center"/>
          </w:tcPr>
          <w:p w14:paraId="7E496F81">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E (Extroversion)</w:t>
            </w:r>
          </w:p>
        </w:tc>
        <w:tc>
          <w:tcPr>
            <w:tcW w:w="1136" w:type="dxa"/>
            <w:tcBorders>
              <w:top w:val="single" w:color="auto" w:sz="4" w:space="0"/>
            </w:tcBorders>
            <w:vAlign w:val="center"/>
          </w:tcPr>
          <w:p w14:paraId="6247B540">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chat, move</w:t>
            </w:r>
          </w:p>
        </w:tc>
        <w:tc>
          <w:tcPr>
            <w:tcW w:w="1226" w:type="dxa"/>
            <w:tcBorders>
              <w:top w:val="single" w:color="auto" w:sz="4" w:space="0"/>
            </w:tcBorders>
            <w:vAlign w:val="center"/>
          </w:tcPr>
          <w:p w14:paraId="74014F2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+15, +10</w:t>
            </w:r>
          </w:p>
        </w:tc>
        <w:tc>
          <w:tcPr>
            <w:tcW w:w="3445" w:type="dxa"/>
            <w:tcBorders>
              <w:top w:val="single" w:color="auto" w:sz="4" w:space="0"/>
            </w:tcBorders>
            <w:vAlign w:val="center"/>
          </w:tcPr>
          <w:p w14:paraId="7146BBD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Extroverts derive energy from social interactions</w:t>
            </w:r>
          </w:p>
        </w:tc>
      </w:tr>
      <w:tr w14:paraId="4369B9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65F97C8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E/I</w:t>
            </w:r>
          </w:p>
        </w:tc>
        <w:tc>
          <w:tcPr>
            <w:tcW w:w="1415" w:type="dxa"/>
            <w:vAlign w:val="center"/>
          </w:tcPr>
          <w:p w14:paraId="2F2B934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I (Introversion)</w:t>
            </w:r>
          </w:p>
        </w:tc>
        <w:tc>
          <w:tcPr>
            <w:tcW w:w="1136" w:type="dxa"/>
            <w:vAlign w:val="center"/>
          </w:tcPr>
          <w:p w14:paraId="35BEAA4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work</w:t>
            </w:r>
          </w:p>
        </w:tc>
        <w:tc>
          <w:tcPr>
            <w:tcW w:w="1226" w:type="dxa"/>
            <w:vAlign w:val="center"/>
          </w:tcPr>
          <w:p w14:paraId="6E97D75C">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+15</w:t>
            </w:r>
          </w:p>
        </w:tc>
        <w:tc>
          <w:tcPr>
            <w:tcW w:w="3445" w:type="dxa"/>
            <w:vAlign w:val="center"/>
          </w:tcPr>
          <w:p w14:paraId="522DD5A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Introverts prefer independent, deep work</w:t>
            </w:r>
          </w:p>
        </w:tc>
      </w:tr>
      <w:tr w14:paraId="0816F6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4A07543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S/N</w:t>
            </w:r>
          </w:p>
        </w:tc>
        <w:tc>
          <w:tcPr>
            <w:tcW w:w="1415" w:type="dxa"/>
            <w:vAlign w:val="center"/>
          </w:tcPr>
          <w:p w14:paraId="16377411">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 (Sensing)</w:t>
            </w:r>
          </w:p>
        </w:tc>
        <w:tc>
          <w:tcPr>
            <w:tcW w:w="1136" w:type="dxa"/>
            <w:vAlign w:val="center"/>
          </w:tcPr>
          <w:p w14:paraId="686C63B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work</w:t>
            </w:r>
          </w:p>
        </w:tc>
        <w:tc>
          <w:tcPr>
            <w:tcW w:w="1226" w:type="dxa"/>
            <w:vAlign w:val="center"/>
          </w:tcPr>
          <w:p w14:paraId="213AAF36">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+4</w:t>
            </w:r>
          </w:p>
        </w:tc>
        <w:tc>
          <w:tcPr>
            <w:tcW w:w="3445" w:type="dxa"/>
            <w:vAlign w:val="center"/>
          </w:tcPr>
          <w:p w14:paraId="63607FE2">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Sensing types focus on concrete task execution</w:t>
            </w:r>
          </w:p>
        </w:tc>
      </w:tr>
      <w:tr w14:paraId="61CB41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73EAB26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S/N</w:t>
            </w:r>
          </w:p>
        </w:tc>
        <w:tc>
          <w:tcPr>
            <w:tcW w:w="1415" w:type="dxa"/>
            <w:vAlign w:val="center"/>
          </w:tcPr>
          <w:p w14:paraId="0DCB1D85">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N (Intuition)</w:t>
            </w:r>
          </w:p>
        </w:tc>
        <w:tc>
          <w:tcPr>
            <w:tcW w:w="1136" w:type="dxa"/>
            <w:vAlign w:val="center"/>
          </w:tcPr>
          <w:p w14:paraId="443833C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meeting</w:t>
            </w:r>
          </w:p>
        </w:tc>
        <w:tc>
          <w:tcPr>
            <w:tcW w:w="1226" w:type="dxa"/>
            <w:vAlign w:val="center"/>
          </w:tcPr>
          <w:p w14:paraId="3B276FE6">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+6</w:t>
            </w:r>
          </w:p>
        </w:tc>
        <w:tc>
          <w:tcPr>
            <w:tcW w:w="3445" w:type="dxa"/>
            <w:vAlign w:val="center"/>
          </w:tcPr>
          <w:p w14:paraId="72FCA82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Intuitive types prefer abstract discussion and strategic planning</w:t>
            </w:r>
          </w:p>
        </w:tc>
      </w:tr>
      <w:tr w14:paraId="47F49A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4DABDFB5">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T/F</w:t>
            </w:r>
          </w:p>
        </w:tc>
        <w:tc>
          <w:tcPr>
            <w:tcW w:w="1415" w:type="dxa"/>
            <w:vAlign w:val="center"/>
          </w:tcPr>
          <w:p w14:paraId="55B203B6">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 (Thinking)</w:t>
            </w:r>
          </w:p>
        </w:tc>
        <w:tc>
          <w:tcPr>
            <w:tcW w:w="1136" w:type="dxa"/>
            <w:vAlign w:val="center"/>
          </w:tcPr>
          <w:p w14:paraId="2945389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work</w:t>
            </w:r>
          </w:p>
        </w:tc>
        <w:tc>
          <w:tcPr>
            <w:tcW w:w="1226" w:type="dxa"/>
            <w:vAlign w:val="center"/>
          </w:tcPr>
          <w:p w14:paraId="5F9963D4">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+10</w:t>
            </w:r>
          </w:p>
        </w:tc>
        <w:tc>
          <w:tcPr>
            <w:tcW w:w="3445" w:type="dxa"/>
            <w:vAlign w:val="center"/>
          </w:tcPr>
          <w:p w14:paraId="1A97ADD6">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Thinking types are logic and efficiency-oriented</w:t>
            </w:r>
          </w:p>
        </w:tc>
      </w:tr>
      <w:tr w14:paraId="23B634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0DE541D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T/F</w:t>
            </w:r>
          </w:p>
        </w:tc>
        <w:tc>
          <w:tcPr>
            <w:tcW w:w="1415" w:type="dxa"/>
            <w:vAlign w:val="center"/>
          </w:tcPr>
          <w:p w14:paraId="2F1B81C4">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F (Feeling)</w:t>
            </w:r>
          </w:p>
        </w:tc>
        <w:tc>
          <w:tcPr>
            <w:tcW w:w="1136" w:type="dxa"/>
            <w:vAlign w:val="center"/>
          </w:tcPr>
          <w:p w14:paraId="4D4DF992">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chat</w:t>
            </w:r>
          </w:p>
        </w:tc>
        <w:tc>
          <w:tcPr>
            <w:tcW w:w="1226" w:type="dxa"/>
            <w:vAlign w:val="center"/>
          </w:tcPr>
          <w:p w14:paraId="436C26D0">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+10</w:t>
            </w:r>
          </w:p>
        </w:tc>
        <w:tc>
          <w:tcPr>
            <w:tcW w:w="3445" w:type="dxa"/>
            <w:vAlign w:val="center"/>
          </w:tcPr>
          <w:p w14:paraId="2719CC0F">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Feeling types value interpersonal harmony</w:t>
            </w:r>
          </w:p>
        </w:tc>
      </w:tr>
      <w:tr w14:paraId="7DCB1B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20130A76">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J/P</w:t>
            </w:r>
          </w:p>
        </w:tc>
        <w:tc>
          <w:tcPr>
            <w:tcW w:w="1415" w:type="dxa"/>
            <w:vAlign w:val="center"/>
          </w:tcPr>
          <w:p w14:paraId="158520BE">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J (Judging)</w:t>
            </w:r>
          </w:p>
        </w:tc>
        <w:tc>
          <w:tcPr>
            <w:tcW w:w="1136" w:type="dxa"/>
            <w:vAlign w:val="center"/>
          </w:tcPr>
          <w:p w14:paraId="2F45E4A1">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work</w:t>
            </w:r>
          </w:p>
        </w:tc>
        <w:tc>
          <w:tcPr>
            <w:tcW w:w="1226" w:type="dxa"/>
            <w:vAlign w:val="center"/>
          </w:tcPr>
          <w:p w14:paraId="2760B288">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+10</w:t>
            </w:r>
          </w:p>
        </w:tc>
        <w:tc>
          <w:tcPr>
            <w:tcW w:w="3445" w:type="dxa"/>
            <w:vAlign w:val="center"/>
          </w:tcPr>
          <w:p w14:paraId="43ADCE2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Judging types proceed with planned work</w:t>
            </w:r>
          </w:p>
        </w:tc>
      </w:tr>
      <w:tr w14:paraId="70C9F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4" w:type="dxa"/>
            <w:vAlign w:val="center"/>
          </w:tcPr>
          <w:p w14:paraId="73E6A80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J/P</w:t>
            </w:r>
          </w:p>
        </w:tc>
        <w:tc>
          <w:tcPr>
            <w:tcW w:w="1415" w:type="dxa"/>
            <w:vAlign w:val="center"/>
          </w:tcPr>
          <w:p w14:paraId="72C86F7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P (Perceiving)</w:t>
            </w:r>
          </w:p>
        </w:tc>
        <w:tc>
          <w:tcPr>
            <w:tcW w:w="1136" w:type="dxa"/>
            <w:vAlign w:val="center"/>
          </w:tcPr>
          <w:p w14:paraId="0E68926E">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Move, rest</w:t>
            </w:r>
          </w:p>
        </w:tc>
        <w:tc>
          <w:tcPr>
            <w:tcW w:w="1226" w:type="dxa"/>
            <w:vAlign w:val="center"/>
          </w:tcPr>
          <w:p w14:paraId="5CC63EF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+10, +5</w:t>
            </w:r>
          </w:p>
        </w:tc>
        <w:tc>
          <w:tcPr>
            <w:tcW w:w="3445" w:type="dxa"/>
            <w:vAlign w:val="center"/>
          </w:tcPr>
          <w:p w14:paraId="3C6B05CA">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Perceiving types are flexible and inclined toward spontaneous exploration</w:t>
            </w:r>
          </w:p>
        </w:tc>
      </w:tr>
    </w:tbl>
    <w:p w14:paraId="2053C24D">
      <w:pPr>
        <w:adjustRightInd w:val="0"/>
        <w:snapToGrid w:val="0"/>
        <w:spacing w:line="228" w:lineRule="auto"/>
        <w:rPr>
          <w:rFonts w:hint="eastAsia" w:ascii="Times New Roman" w:hAnsi="Times New Roman" w:cs="Times New Roman"/>
          <w:sz w:val="20"/>
          <w:szCs w:val="20"/>
        </w:rPr>
      </w:pPr>
      <w:r>
        <w:rPr>
          <w:rFonts w:hint="eastAsia" w:ascii="Times New Roman" w:hAnsi="Times New Roman" w:cs="Times New Roman"/>
          <w:sz w:val="20"/>
          <w:szCs w:val="20"/>
        </w:rPr>
        <w:t xml:space="preserve">The values reported in Table 3 are not intended as psychometric estimates of real human behavior. Rather, they are design-calibrated parameters and transparent simulation assumptions used to operationalize qualitative MBTI tendencies into executable and inspectable agent behavior. We first define a workday-oriented base vector </w:t>
      </w:r>
      <m:oMath>
        <m:sSub>
          <m:sSubPr>
            <m:ctrlPr>
              <w:rPr>
                <w:rFonts w:ascii="Cambria Math" w:hAnsi="Cambria Math"/>
                <w:color w:val="000000"/>
                <w:sz w:val="16"/>
                <w:szCs w:val="16"/>
              </w:rPr>
            </m:ctrlPr>
          </m:sSubPr>
          <m:e>
            <m:r>
              <m:rPr/>
              <w:rPr>
                <w:rFonts w:ascii="Cambria Math" w:hAnsi="Cambria Math"/>
                <w:color w:val="000000"/>
                <w:sz w:val="16"/>
                <w:szCs w:val="16"/>
              </w:rPr>
              <m:t>W</m:t>
            </m:r>
            <m:ctrlPr>
              <w:rPr>
                <w:rFonts w:ascii="Cambria Math" w:hAnsi="Cambria Math"/>
                <w:color w:val="000000"/>
                <w:sz w:val="16"/>
                <w:szCs w:val="16"/>
              </w:rPr>
            </m:ctrlPr>
          </m:e>
          <m:sub>
            <m:r>
              <m:rPr/>
              <w:rPr>
                <w:rFonts w:ascii="Cambria Math" w:hAnsi="Cambria Math"/>
                <w:color w:val="000000"/>
                <w:sz w:val="16"/>
                <w:szCs w:val="16"/>
              </w:rPr>
              <m:t>0</m:t>
            </m:r>
            <m:ctrlPr>
              <w:rPr>
                <w:rFonts w:ascii="Cambria Math" w:hAnsi="Cambria Math"/>
                <w:color w:val="000000"/>
                <w:sz w:val="16"/>
                <w:szCs w:val="16"/>
              </w:rPr>
            </m:ctrlPr>
          </m:sub>
        </m:sSub>
      </m:oMath>
      <w:r>
        <w:rPr>
          <w:rFonts w:hint="eastAsia" w:ascii="Times New Roman" w:hAnsi="Times New Roman" w:cs="Times New Roman"/>
          <w:sz w:val="20"/>
          <w:szCs w:val="20"/>
        </w:rPr>
        <w:t>= (30, 20, 15, 25, 10) for work, chat, rest, move, and meeting, respectively. This baseline reflects the prior structure of a virtual company workday: work is the dominant default activity, movement is frequent because agents regularly travel between workstations, meeting rooms, and shared spaces, chat remains available as a medium-frequency social behavior, rest is less frequent but cannot be zero, and meeting is the least frequent because it does not occur at every decision step. On top of this baseline, we use moderate increments of 5, 10, and 15 to encode weak, medium, and strong qualitative behavioral tendencies. In this scheme, +15 denotes a primary tendency, +10 denotes a clear but secondary tendency, and +5 denotes a mild or compensatory adjustment. The final values were selected through fixed-seed calibration runs so that personality-conditioned differences remain visible and reproducible without making any action category deterministic or allowing a single action to dominate the full distribution.</w:t>
      </w:r>
    </w:p>
    <w:p w14:paraId="4DB3683D">
      <w:pPr>
        <w:adjustRightInd w:val="0"/>
        <w:snapToGrid w:val="0"/>
        <w:spacing w:line="228" w:lineRule="auto"/>
        <w:rPr>
          <w:rFonts w:hint="eastAsia" w:ascii="Times New Roman" w:hAnsi="Times New Roman" w:cs="Times New Roman"/>
          <w:sz w:val="20"/>
          <w:szCs w:val="20"/>
        </w:rPr>
      </w:pPr>
      <w:r>
        <w:rPr>
          <w:rFonts w:hint="eastAsia" w:ascii="Times New Roman" w:hAnsi="Times New Roman" w:cs="Times New Roman"/>
          <w:sz w:val="20"/>
          <w:szCs w:val="20"/>
        </w:rPr>
        <w:t>Not all MBTI dimensions are applied at the same layer of the decision process. In the current implementation, E/I, T/F, and J/P directly modify the fallback action-weight vector because they are closely related to observable differences in social orientation, task-versus-affiliation preference, and structured-versus-flexible work rhythm. By contrast, S/N is implemented primarily through task-preference scoring and work-style tendencies rather than as a direct action-frequency increment. More specifically, S-type agents receive higher preference scores for routine and management-oriented task tags, whereas N-type agents receive higher preference scores for creative, innovation-oriented, and difficult tasks. This design separates action-frequency tendencies from task-content preferences while preserving four-dimensional MBTI parameterization across the overall behavior stack.</w:t>
      </w:r>
    </w:p>
    <w:p w14:paraId="0E4B09CC">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For example, with ISTJ type, work = 30+15(I)+4(S)+10(T)+10(J) = 69, with normalized work behavior probability of 49.6%, significantly higher than ENFP’s 21.4%. Differences between agent types are traceable to specific weights, reproducible under fixed seeds, and modifiable without rewriting the engine. The same structure also makes the software adaptable to other personality models (such as Big Five, Holland's occupational interests).</w:t>
      </w:r>
    </w:p>
    <w:p w14:paraId="6FC38497">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 xml:space="preserve">Beyond action probabilities, MBTI also affects work efficiency, social gains, and experience point acquisition through multiplicative modifiers. The work efficiency multiplier </w:t>
      </w:r>
      <m:oMath>
        <m:sSub>
          <m:sSubPr>
            <m:ctrlPr>
              <w:rPr>
                <w:rFonts w:ascii="Cambria Math" w:hAnsi="Cambria Math"/>
                <w:sz w:val="20"/>
                <w:szCs w:val="20"/>
              </w:rPr>
            </m:ctrlPr>
          </m:sSubPr>
          <m:e>
            <m:r>
              <m:rPr/>
              <w:rPr>
                <w:rFonts w:ascii="Cambria Math"/>
                <w:sz w:val="20"/>
                <w:szCs w:val="20"/>
              </w:rPr>
              <m:t>η</m:t>
            </m:r>
            <m:ctrlPr>
              <w:rPr>
                <w:rFonts w:ascii="Cambria Math" w:hAnsi="Cambria Math"/>
                <w:sz w:val="20"/>
                <w:szCs w:val="20"/>
              </w:rPr>
            </m:ctrlPr>
          </m:e>
          <m:sub>
            <m:r>
              <m:rPr/>
              <w:rPr>
                <w:rFonts w:ascii="Cambria Math"/>
                <w:sz w:val="20"/>
                <w:szCs w:val="20"/>
              </w:rPr>
              <m:t>work</m:t>
            </m:r>
            <m:ctrlPr>
              <w:rPr>
                <w:rFonts w:ascii="Cambria Math" w:hAnsi="Cambria Math"/>
                <w:sz w:val="20"/>
                <w:szCs w:val="20"/>
              </w:rPr>
            </m:ctrlPr>
          </m:sub>
        </m:sSub>
      </m:oMath>
      <w:r>
        <w:rPr>
          <w:rFonts w:ascii="Times New Roman" w:hAnsi="Times New Roman" w:cs="Times New Roman"/>
          <w:sz w:val="20"/>
          <w:szCs w:val="20"/>
          <w:vertAlign w:val="subscript"/>
        </w:rPr>
        <w:t xml:space="preserve"> </w:t>
      </w:r>
      <w:r>
        <w:rPr>
          <w:rFonts w:ascii="Times New Roman" w:hAnsi="Times New Roman" w:cs="Times New Roman"/>
          <w:sz w:val="20"/>
          <w:szCs w:val="20"/>
        </w:rPr>
        <w:t>is defined as: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0312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7797" w:type="dxa"/>
            <w:tcBorders>
              <w:top w:val="nil"/>
              <w:left w:val="nil"/>
              <w:bottom w:val="nil"/>
              <w:right w:val="nil"/>
              <w:tl2br w:val="nil"/>
            </w:tcBorders>
            <w:shd w:val="clear" w:color="auto" w:fill="FFFFFF"/>
            <w:vAlign w:val="center"/>
          </w:tcPr>
          <w:p w14:paraId="3AC27883">
            <w:pPr>
              <w:adjustRightInd w:val="0"/>
              <w:snapToGrid w:val="0"/>
              <w:spacing w:line="228" w:lineRule="auto"/>
              <w:jc w:val="center"/>
              <w:rPr>
                <w:rFonts w:hint="eastAsia"/>
              </w:rPr>
            </w:pPr>
            <m:oMathPara>
              <m:oMathParaPr>
                <m:jc m:val="left"/>
              </m:oMathParaPr>
              <m:oMath>
                <m:sSub>
                  <m:sSubPr>
                    <m:ctrlPr>
                      <w:rPr>
                        <w:rFonts w:ascii="Cambria Math" w:hAnsi="Cambria Math"/>
                        <w:sz w:val="16"/>
                        <w:szCs w:val="16"/>
                      </w:rPr>
                    </m:ctrlPr>
                  </m:sSubPr>
                  <m:e>
                    <m:r>
                      <m:rPr/>
                      <w:rPr>
                        <w:rFonts w:ascii="Cambria Math"/>
                        <w:sz w:val="16"/>
                        <w:szCs w:val="16"/>
                      </w:rPr>
                      <m:t>η</m:t>
                    </m:r>
                    <m:ctrlPr>
                      <w:rPr>
                        <w:rFonts w:ascii="Cambria Math" w:hAnsi="Cambria Math"/>
                        <w:sz w:val="16"/>
                        <w:szCs w:val="16"/>
                      </w:rPr>
                    </m:ctrlPr>
                  </m:e>
                  <m:sub>
                    <m:r>
                      <m:rPr/>
                      <w:rPr>
                        <w:rFonts w:ascii="Cambria Math"/>
                        <w:sz w:val="16"/>
                        <w:szCs w:val="16"/>
                      </w:rPr>
                      <m:t>work</m:t>
                    </m:r>
                    <m:ctrlPr>
                      <w:rPr>
                        <w:rFonts w:ascii="Cambria Math" w:hAnsi="Cambria Math"/>
                        <w:sz w:val="16"/>
                        <w:szCs w:val="16"/>
                      </w:rPr>
                    </m:ctrlPr>
                  </m:sub>
                </m:sSub>
                <m:r>
                  <m:rPr/>
                  <w:rPr>
                    <w:rFonts w:ascii="Cambria Math"/>
                    <w:sz w:val="16"/>
                    <w:szCs w:val="16"/>
                  </w:rPr>
                  <m:t>=</m:t>
                </m:r>
                <m:nary>
                  <m:naryPr>
                    <m:chr m:val="∏"/>
                    <m:limLoc m:val="undOvr"/>
                    <m:ctrlPr>
                      <w:rPr>
                        <w:rFonts w:ascii="Cambria Math" w:hAnsi="Cambria Math"/>
                        <w:i/>
                        <w:sz w:val="16"/>
                        <w:szCs w:val="16"/>
                      </w:rPr>
                    </m:ctrlPr>
                  </m:naryPr>
                  <m:sub>
                    <m:r>
                      <m:rPr/>
                      <w:rPr>
                        <w:rFonts w:ascii="Cambria Math"/>
                        <w:sz w:val="16"/>
                        <w:szCs w:val="16"/>
                      </w:rPr>
                      <m:t>i=1</m:t>
                    </m:r>
                    <m:ctrlPr>
                      <w:rPr>
                        <w:rFonts w:ascii="Cambria Math" w:hAnsi="Cambria Math"/>
                        <w:sz w:val="16"/>
                        <w:szCs w:val="16"/>
                      </w:rPr>
                    </m:ctrlPr>
                  </m:sub>
                  <m:sup>
                    <m:r>
                      <m:rPr/>
                      <w:rPr>
                        <w:rFonts w:ascii="Cambria Math"/>
                        <w:sz w:val="16"/>
                        <w:szCs w:val="16"/>
                      </w:rPr>
                      <m:t>4</m:t>
                    </m:r>
                    <m:ctrlPr>
                      <w:rPr>
                        <w:rFonts w:ascii="Cambria Math" w:hAnsi="Cambria Math"/>
                        <w:sz w:val="16"/>
                        <w:szCs w:val="16"/>
                      </w:rPr>
                    </m:ctrlPr>
                  </m:sup>
                  <m:e>
                    <m:r>
                      <m:rPr/>
                      <w:rPr>
                        <w:rFonts w:ascii="Cambria Math"/>
                        <w:sz w:val="16"/>
                        <w:szCs w:val="16"/>
                      </w:rPr>
                      <m:t>(</m:t>
                    </m:r>
                    <m:ctrlPr>
                      <w:rPr>
                        <w:rFonts w:ascii="Cambria Math" w:hAnsi="Cambria Math"/>
                        <w:sz w:val="16"/>
                        <w:szCs w:val="16"/>
                      </w:rPr>
                    </m:ctrlPr>
                  </m:e>
                </m:nary>
                <m:r>
                  <m:rPr/>
                  <w:rPr>
                    <w:rFonts w:ascii="Cambria Math"/>
                    <w:sz w:val="16"/>
                    <w:szCs w:val="16"/>
                  </w:rPr>
                  <m:t>1+</m:t>
                </m:r>
                <m:sSub>
                  <m:sSubPr>
                    <m:ctrlPr>
                      <w:rPr>
                        <w:rFonts w:ascii="Cambria Math" w:hAnsi="Cambria Math"/>
                        <w:sz w:val="16"/>
                        <w:szCs w:val="16"/>
                      </w:rPr>
                    </m:ctrlPr>
                  </m:sSubPr>
                  <m:e>
                    <m:r>
                      <m:rPr/>
                      <w:rPr>
                        <w:rFonts w:ascii="Cambria Math"/>
                        <w:sz w:val="16"/>
                        <w:szCs w:val="16"/>
                      </w:rPr>
                      <m:t>α</m:t>
                    </m:r>
                    <m:ctrlPr>
                      <w:rPr>
                        <w:rFonts w:ascii="Cambria Math" w:hAnsi="Cambria Math"/>
                        <w:sz w:val="16"/>
                        <w:szCs w:val="16"/>
                      </w:rPr>
                    </m:ctrlPr>
                  </m:e>
                  <m:sub>
                    <m:r>
                      <m:rPr/>
                      <w:rPr>
                        <w:rFonts w:ascii="Cambria Math"/>
                        <w:sz w:val="16"/>
                        <w:szCs w:val="16"/>
                      </w:rPr>
                      <m:t>i</m:t>
                    </m:r>
                    <m:ctrlPr>
                      <w:rPr>
                        <w:rFonts w:ascii="Cambria Math" w:hAnsi="Cambria Math"/>
                        <w:sz w:val="16"/>
                        <w:szCs w:val="16"/>
                      </w:rPr>
                    </m:ctrlPr>
                  </m:sub>
                </m:sSub>
                <m:r>
                  <m:rPr/>
                  <w:rPr>
                    <w:rFonts w:ascii="Cambria Math"/>
                    <w:sz w:val="16"/>
                    <w:szCs w:val="16"/>
                  </w:rPr>
                  <m:t>⋅</m:t>
                </m:r>
                <m:r>
                  <m:rPr>
                    <m:scr m:val="double-struck"/>
                  </m:rPr>
                  <w:rPr>
                    <w:rFonts w:ascii="Cambria Math"/>
                    <w:sz w:val="16"/>
                    <w:szCs w:val="16"/>
                  </w:rPr>
                  <m:t>1[</m:t>
                </m:r>
                <m:sSub>
                  <m:sSubPr>
                    <m:ctrlPr>
                      <w:rPr>
                        <w:rFonts w:ascii="Cambria Math" w:hAnsi="Cambria Math"/>
                        <w:sz w:val="16"/>
                        <w:szCs w:val="16"/>
                      </w:rPr>
                    </m:ctrlPr>
                  </m:sSubPr>
                  <m:e>
                    <m:r>
                      <m:rPr/>
                      <w:rPr>
                        <w:rFonts w:ascii="Cambria Math"/>
                        <w:sz w:val="16"/>
                        <w:szCs w:val="16"/>
                      </w:rPr>
                      <m:t>m</m:t>
                    </m:r>
                    <m:ctrlPr>
                      <w:rPr>
                        <w:rFonts w:ascii="Cambria Math" w:hAnsi="Cambria Math"/>
                        <w:sz w:val="16"/>
                        <w:szCs w:val="16"/>
                      </w:rPr>
                    </m:ctrlPr>
                  </m:e>
                  <m:sub>
                    <m:r>
                      <m:rPr/>
                      <w:rPr>
                        <w:rFonts w:ascii="Cambria Math"/>
                        <w:sz w:val="16"/>
                        <w:szCs w:val="16"/>
                      </w:rPr>
                      <m:t>i</m:t>
                    </m:r>
                    <m:ctrlPr>
                      <w:rPr>
                        <w:rFonts w:ascii="Cambria Math" w:hAnsi="Cambria Math"/>
                        <w:sz w:val="16"/>
                        <w:szCs w:val="16"/>
                      </w:rPr>
                    </m:ctrlPr>
                  </m:sub>
                </m:sSub>
                <m:r>
                  <m:rPr/>
                  <w:rPr>
                    <w:rFonts w:ascii="Cambria Math"/>
                    <w:sz w:val="16"/>
                    <w:szCs w:val="16"/>
                  </w:rPr>
                  <m:t>=</m:t>
                </m:r>
                <m:sSub>
                  <m:sSubPr>
                    <m:ctrlPr>
                      <w:rPr>
                        <w:rFonts w:ascii="Cambria Math" w:hAnsi="Cambria Math"/>
                        <w:sz w:val="16"/>
                        <w:szCs w:val="16"/>
                      </w:rPr>
                    </m:ctrlPr>
                  </m:sSubPr>
                  <m:e>
                    <m:r>
                      <m:rPr/>
                      <w:rPr>
                        <w:rFonts w:ascii="Cambria Math"/>
                        <w:sz w:val="16"/>
                        <w:szCs w:val="16"/>
                      </w:rPr>
                      <m:t>target</m:t>
                    </m:r>
                    <m:ctrlPr>
                      <w:rPr>
                        <w:rFonts w:ascii="Cambria Math" w:hAnsi="Cambria Math"/>
                        <w:sz w:val="16"/>
                        <w:szCs w:val="16"/>
                      </w:rPr>
                    </m:ctrlPr>
                  </m:e>
                  <m:sub>
                    <m:r>
                      <m:rPr/>
                      <w:rPr>
                        <w:rFonts w:ascii="Cambria Math"/>
                        <w:sz w:val="16"/>
                        <w:szCs w:val="16"/>
                      </w:rPr>
                      <m:t>i</m:t>
                    </m:r>
                    <m:ctrlPr>
                      <w:rPr>
                        <w:rFonts w:ascii="Cambria Math" w:hAnsi="Cambria Math"/>
                        <w:sz w:val="16"/>
                        <w:szCs w:val="16"/>
                      </w:rPr>
                    </m:ctrlPr>
                  </m:sub>
                </m:sSub>
                <m:r>
                  <m:rPr/>
                  <w:rPr>
                    <w:rFonts w:ascii="Cambria Math"/>
                    <w:sz w:val="16"/>
                    <w:szCs w:val="16"/>
                  </w:rPr>
                  <m:t>])</m:t>
                </m:r>
              </m:oMath>
            </m:oMathPara>
          </w:p>
        </w:tc>
        <w:tc>
          <w:tcPr>
            <w:tcW w:w="725" w:type="dxa"/>
            <w:tcBorders>
              <w:top w:val="nil"/>
              <w:left w:val="nil"/>
              <w:bottom w:val="nil"/>
              <w:right w:val="nil"/>
            </w:tcBorders>
            <w:shd w:val="clear" w:color="auto" w:fill="FFFFFF"/>
            <w:vAlign w:val="center"/>
          </w:tcPr>
          <w:p w14:paraId="5196038B">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3</w:t>
            </w:r>
            <w:r>
              <w:rPr>
                <w:rFonts w:ascii="Times New Roman" w:hAnsi="Times New Roman" w:cs="Times New Roman"/>
                <w:color w:val="000000"/>
                <w:sz w:val="20"/>
                <w:szCs w:val="20"/>
              </w:rPr>
              <w:t>)</w:t>
            </w:r>
          </w:p>
        </w:tc>
      </w:tr>
    </w:tbl>
    <w:p w14:paraId="03C4536D">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 xml:space="preserve">where </w:t>
      </w:r>
      <w:bookmarkStart w:id="2" w:name="OLE_LINK1"/>
      <w:r>
        <w:rPr>
          <w:rFonts w:ascii="Times New Roman" w:hAnsi="Times New Roman" w:cs="Times New Roman"/>
          <w:sz w:val="20"/>
          <w:szCs w:val="20"/>
        </w:rPr>
        <w:t>α</w:t>
      </w:r>
      <w:bookmarkEnd w:id="2"/>
      <w:r>
        <w:rPr>
          <w:rFonts w:ascii="Times New Roman" w:hAnsi="Times New Roman" w:cs="Times New Roman"/>
          <w:sz w:val="20"/>
          <w:szCs w:val="20"/>
          <w:vertAlign w:val="subscript"/>
        </w:rPr>
        <w:t>1</w:t>
      </w:r>
      <w:r>
        <w:rPr>
          <w:rFonts w:ascii="Times New Roman" w:hAnsi="Times New Roman" w:cs="Times New Roman"/>
          <w:sz w:val="20"/>
          <w:szCs w:val="20"/>
        </w:rPr>
        <w:t xml:space="preserve"> = 0.15 (introvert focus), α</w:t>
      </w:r>
      <w:r>
        <w:rPr>
          <w:rFonts w:ascii="Times New Roman" w:hAnsi="Times New Roman" w:cs="Times New Roman"/>
          <w:sz w:val="20"/>
          <w:szCs w:val="20"/>
          <w:vertAlign w:val="subscript"/>
        </w:rPr>
        <w:t>2</w:t>
      </w:r>
      <w:r>
        <w:rPr>
          <w:rFonts w:ascii="Times New Roman" w:hAnsi="Times New Roman" w:cs="Times New Roman"/>
          <w:sz w:val="20"/>
          <w:szCs w:val="20"/>
        </w:rPr>
        <w:t xml:space="preserve"> = 0.10 (sensing execution), α</w:t>
      </w:r>
      <w:r>
        <w:rPr>
          <w:rFonts w:ascii="Times New Roman" w:hAnsi="Times New Roman" w:cs="Times New Roman"/>
          <w:sz w:val="20"/>
          <w:szCs w:val="20"/>
          <w:vertAlign w:val="subscript"/>
        </w:rPr>
        <w:t>3</w:t>
      </w:r>
      <w:r>
        <w:rPr>
          <w:rFonts w:ascii="Times New Roman" w:hAnsi="Times New Roman" w:cs="Times New Roman"/>
          <w:sz w:val="20"/>
          <w:szCs w:val="20"/>
        </w:rPr>
        <w:t xml:space="preserve"> = 0.10 (thinking analysis efficiency), α</w:t>
      </w:r>
      <w:r>
        <w:rPr>
          <w:rFonts w:ascii="Times New Roman" w:hAnsi="Times New Roman" w:cs="Times New Roman"/>
          <w:sz w:val="20"/>
          <w:szCs w:val="20"/>
          <w:vertAlign w:val="subscript"/>
        </w:rPr>
        <w:t>4</w:t>
      </w:r>
      <w:r>
        <w:rPr>
          <w:rFonts w:ascii="Times New Roman" w:hAnsi="Times New Roman" w:cs="Times New Roman"/>
          <w:sz w:val="20"/>
          <w:szCs w:val="20"/>
        </w:rPr>
        <w:t xml:space="preserve"> = 0.15 (judging discipline), and </w:t>
      </w:r>
      <m:oMath>
        <m:r>
          <m:rPr>
            <m:scr m:val="double-struck"/>
          </m:rPr>
          <w:rPr>
            <w:rFonts w:ascii="Cambria Math"/>
            <w:sz w:val="20"/>
            <w:szCs w:val="20"/>
          </w:rPr>
          <m:t>1[</m:t>
        </m:r>
        <m:r>
          <m:rPr/>
          <w:rPr>
            <w:rFonts w:ascii="Cambria Math"/>
            <w:sz w:val="20"/>
            <w:szCs w:val="20"/>
          </w:rPr>
          <m:t>⋅]</m:t>
        </m:r>
      </m:oMath>
      <w:r>
        <w:rPr>
          <w:rFonts w:ascii="Times New Roman" w:hAnsi="Times New Roman" w:cs="Times New Roman"/>
          <w:sz w:val="20"/>
          <w:szCs w:val="20"/>
        </w:rPr>
        <w:t xml:space="preserve"> is the indicator function. The ISTJ type has efficiency multiplier 1.15</w:t>
      </w:r>
      <w:r>
        <w:rPr>
          <w:rFonts w:ascii="Times New Roman" w:hAnsi="Times New Roman" w:eastAsia="宋体" w:cs="Times New Roman"/>
          <w:sz w:val="20"/>
          <w:szCs w:val="20"/>
        </w:rPr>
        <w:t>×</w:t>
      </w:r>
      <w:r>
        <w:rPr>
          <w:rFonts w:ascii="Times New Roman" w:hAnsi="Times New Roman" w:cs="Times New Roman"/>
          <w:sz w:val="20"/>
          <w:szCs w:val="20"/>
        </w:rPr>
        <w:t>1.10</w:t>
      </w:r>
      <w:r>
        <w:rPr>
          <w:rFonts w:ascii="Times New Roman" w:hAnsi="Times New Roman" w:eastAsia="宋体" w:cs="Times New Roman"/>
          <w:sz w:val="20"/>
          <w:szCs w:val="20"/>
        </w:rPr>
        <w:t>×</w:t>
      </w:r>
      <w:r>
        <w:rPr>
          <w:rFonts w:ascii="Times New Roman" w:hAnsi="Times New Roman" w:cs="Times New Roman"/>
          <w:sz w:val="20"/>
          <w:szCs w:val="20"/>
        </w:rPr>
        <w:t>1.10</w:t>
      </w:r>
      <w:r>
        <w:rPr>
          <w:rFonts w:ascii="Times New Roman" w:hAnsi="Times New Roman" w:eastAsia="宋体" w:cs="Times New Roman"/>
          <w:sz w:val="20"/>
          <w:szCs w:val="20"/>
        </w:rPr>
        <w:t>×</w:t>
      </w:r>
      <w:r>
        <w:rPr>
          <w:rFonts w:ascii="Times New Roman" w:hAnsi="Times New Roman" w:cs="Times New Roman"/>
          <w:sz w:val="20"/>
          <w:szCs w:val="20"/>
        </w:rPr>
        <w:t>1.15</w:t>
      </w:r>
      <w:r>
        <w:rPr>
          <w:rFonts w:ascii="Times New Roman" w:hAnsi="Times New Roman" w:eastAsia="宋体" w:cs="Times New Roman"/>
          <w:sz w:val="20"/>
          <w:szCs w:val="20"/>
        </w:rPr>
        <w:t>≈</w:t>
      </w:r>
      <w:r>
        <w:rPr>
          <w:rFonts w:ascii="Times New Roman" w:hAnsi="Times New Roman" w:cs="Times New Roman"/>
          <w:sz w:val="20"/>
          <w:szCs w:val="20"/>
        </w:rPr>
        <w:t>1.60, while ENFP type is 1.0. Figure 3 shows a comparison of work speed multipliers across 16 MBTI types.</w:t>
      </w:r>
    </w:p>
    <w:p w14:paraId="1DC121C4">
      <w:pPr>
        <w:adjustRightInd w:val="0"/>
        <w:snapToGrid w:val="0"/>
        <w:spacing w:line="228" w:lineRule="auto"/>
        <w:rPr>
          <w:rFonts w:ascii="Times New Roman" w:hAnsi="Times New Roman" w:cs="Times New Roman"/>
          <w:sz w:val="20"/>
          <w:szCs w:val="20"/>
        </w:rPr>
      </w:pPr>
    </w:p>
    <w:p w14:paraId="15392A46">
      <w:pPr>
        <w:adjustRightInd w:val="0"/>
        <w:snapToGrid w:val="0"/>
        <w:spacing w:line="228" w:lineRule="auto"/>
        <w:jc w:val="center"/>
        <w:rPr>
          <w:rFonts w:ascii="Times New Roman" w:hAnsi="Times New Roman" w:cs="Times New Roman"/>
          <w:sz w:val="16"/>
          <w:szCs w:val="16"/>
        </w:rPr>
      </w:pPr>
      <w:r>
        <w:drawing>
          <wp:inline distT="0" distB="0" distL="0" distR="0">
            <wp:extent cx="4787900" cy="1720850"/>
            <wp:effectExtent l="0" t="0" r="0" b="0"/>
            <wp:docPr id="16" name="图片 16" descr="fig3_mbti_multipliers"/>
            <wp:cNvGraphicFramePr/>
            <a:graphic xmlns:a="http://schemas.openxmlformats.org/drawingml/2006/main">
              <a:graphicData uri="http://schemas.openxmlformats.org/drawingml/2006/picture">
                <pic:pic xmlns:pic="http://schemas.openxmlformats.org/drawingml/2006/picture">
                  <pic:nvPicPr>
                    <pic:cNvPr id="16" name="图片 16" descr="fig3_mbti_multipliers"/>
                    <pic:cNvPicPr/>
                  </pic:nvPicPr>
                  <pic:blipFill>
                    <a:blip r:embed="rId7"/>
                    <a:srcRect t="7248"/>
                    <a:stretch>
                      <a:fillRect/>
                    </a:stretch>
                  </pic:blipFill>
                  <pic:spPr>
                    <a:xfrm>
                      <a:off x="0" y="0"/>
                      <a:ext cx="4787900" cy="1720850"/>
                    </a:xfrm>
                    <a:prstGeom prst="rect">
                      <a:avLst/>
                    </a:prstGeom>
                  </pic:spPr>
                </pic:pic>
              </a:graphicData>
            </a:graphic>
          </wp:inline>
        </w:drawing>
      </w:r>
    </w:p>
    <w:p w14:paraId="4D176DFF">
      <w:pPr>
        <w:pStyle w:val="16"/>
        <w:numPr>
          <w:ilvl w:val="0"/>
          <w:numId w:val="0"/>
        </w:numPr>
        <w:tabs>
          <w:tab w:val="clear" w:pos="0"/>
        </w:tabs>
        <w:adjustRightInd w:val="0"/>
        <w:snapToGrid w:val="0"/>
        <w:spacing w:before="109" w:after="156"/>
        <w:rPr>
          <w:rFonts w:hint="default" w:ascii="Times New Roman" w:hAnsi="Times New Roman" w:cs="Times New Roman" w:eastAsiaTheme="minorEastAsia"/>
          <w:b w:val="0"/>
          <w:sz w:val="16"/>
          <w:szCs w:val="16"/>
        </w:rPr>
      </w:pPr>
      <w:r>
        <w:rPr>
          <w:rFonts w:hint="default" w:ascii="Times New Roman" w:hAnsi="Times New Roman" w:cs="Times New Roman" w:eastAsiaTheme="minorEastAsia"/>
          <w:b/>
          <w:bCs/>
          <w:sz w:val="16"/>
          <w:szCs w:val="16"/>
        </w:rPr>
        <w:t>Fig. 3.</w:t>
      </w:r>
      <w:r>
        <w:rPr>
          <w:rFonts w:hint="default" w:ascii="Times New Roman" w:hAnsi="Times New Roman" w:cs="Times New Roman" w:eastAsiaTheme="minorEastAsia"/>
          <w:b w:val="0"/>
          <w:sz w:val="16"/>
          <w:szCs w:val="16"/>
        </w:rPr>
        <w:t xml:space="preserve">  Bar </w:t>
      </w:r>
      <w:r>
        <w:rPr>
          <w:rFonts w:hint="eastAsia" w:cs="Times New Roman" w:eastAsiaTheme="minorEastAsia"/>
          <w:b w:val="0"/>
          <w:sz w:val="16"/>
          <w:szCs w:val="16"/>
          <w:lang w:val="en-US" w:eastAsia="zh-CN"/>
        </w:rPr>
        <w:t>c</w:t>
      </w:r>
      <w:r>
        <w:rPr>
          <w:rFonts w:hint="default" w:ascii="Times New Roman" w:hAnsi="Times New Roman" w:cs="Times New Roman" w:eastAsiaTheme="minorEastAsia"/>
          <w:b w:val="0"/>
          <w:sz w:val="16"/>
          <w:szCs w:val="16"/>
        </w:rPr>
        <w:t xml:space="preserve">hart </w:t>
      </w:r>
      <w:r>
        <w:rPr>
          <w:rFonts w:hint="eastAsia" w:cs="Times New Roman" w:eastAsiaTheme="minorEastAsia"/>
          <w:b w:val="0"/>
          <w:sz w:val="16"/>
          <w:szCs w:val="16"/>
          <w:lang w:val="en-US" w:eastAsia="zh-CN"/>
        </w:rPr>
        <w:t>c</w:t>
      </w:r>
      <w:r>
        <w:rPr>
          <w:rFonts w:hint="default" w:ascii="Times New Roman" w:hAnsi="Times New Roman" w:cs="Times New Roman" w:eastAsiaTheme="minorEastAsia"/>
          <w:b w:val="0"/>
          <w:sz w:val="16"/>
          <w:szCs w:val="16"/>
        </w:rPr>
        <w:t xml:space="preserve">omparing </w:t>
      </w:r>
      <w:r>
        <w:rPr>
          <w:rFonts w:hint="eastAsia" w:cs="Times New Roman" w:eastAsiaTheme="minorEastAsia"/>
          <w:b w:val="0"/>
          <w:sz w:val="16"/>
          <w:szCs w:val="16"/>
          <w:lang w:val="en-US" w:eastAsia="zh-CN"/>
        </w:rPr>
        <w:t>w</w:t>
      </w:r>
      <w:r>
        <w:rPr>
          <w:rFonts w:hint="default" w:ascii="Times New Roman" w:hAnsi="Times New Roman" w:cs="Times New Roman" w:eastAsiaTheme="minorEastAsia"/>
          <w:b w:val="0"/>
          <w:sz w:val="16"/>
          <w:szCs w:val="16"/>
        </w:rPr>
        <w:t xml:space="preserve">ork </w:t>
      </w:r>
      <w:r>
        <w:rPr>
          <w:rFonts w:hint="eastAsia" w:cs="Times New Roman" w:eastAsiaTheme="minorEastAsia"/>
          <w:b w:val="0"/>
          <w:sz w:val="16"/>
          <w:szCs w:val="16"/>
          <w:lang w:val="en-US" w:eastAsia="zh-CN"/>
        </w:rPr>
        <w:t>s</w:t>
      </w:r>
      <w:r>
        <w:rPr>
          <w:rFonts w:hint="default" w:ascii="Times New Roman" w:hAnsi="Times New Roman" w:cs="Times New Roman" w:eastAsiaTheme="minorEastAsia"/>
          <w:b w:val="0"/>
          <w:sz w:val="16"/>
          <w:szCs w:val="16"/>
        </w:rPr>
        <w:t xml:space="preserve">peed </w:t>
      </w:r>
      <w:r>
        <w:rPr>
          <w:rFonts w:hint="eastAsia" w:cs="Times New Roman" w:eastAsiaTheme="minorEastAsia"/>
          <w:b w:val="0"/>
          <w:sz w:val="16"/>
          <w:szCs w:val="16"/>
          <w:lang w:val="en-US" w:eastAsia="zh-CN"/>
        </w:rPr>
        <w:t>m</w:t>
      </w:r>
      <w:r>
        <w:rPr>
          <w:rFonts w:hint="default" w:ascii="Times New Roman" w:hAnsi="Times New Roman" w:cs="Times New Roman" w:eastAsiaTheme="minorEastAsia"/>
          <w:b w:val="0"/>
          <w:sz w:val="16"/>
          <w:szCs w:val="16"/>
        </w:rPr>
        <w:t xml:space="preserve">ultipliers </w:t>
      </w:r>
      <w:r>
        <w:rPr>
          <w:rFonts w:hint="eastAsia" w:cs="Times New Roman" w:eastAsiaTheme="minorEastAsia"/>
          <w:b w:val="0"/>
          <w:sz w:val="16"/>
          <w:szCs w:val="16"/>
          <w:lang w:val="en-US" w:eastAsia="zh-CN"/>
        </w:rPr>
        <w:t>a</w:t>
      </w:r>
      <w:r>
        <w:rPr>
          <w:rFonts w:hint="default" w:ascii="Times New Roman" w:hAnsi="Times New Roman" w:cs="Times New Roman" w:eastAsiaTheme="minorEastAsia"/>
          <w:b w:val="0"/>
          <w:sz w:val="16"/>
          <w:szCs w:val="16"/>
        </w:rPr>
        <w:t xml:space="preserve">cross 16 MBTI </w:t>
      </w:r>
      <w:r>
        <w:rPr>
          <w:rFonts w:hint="eastAsia" w:cs="Times New Roman" w:eastAsiaTheme="minorEastAsia"/>
          <w:b w:val="0"/>
          <w:sz w:val="16"/>
          <w:szCs w:val="16"/>
          <w:lang w:val="en-US" w:eastAsia="zh-CN"/>
        </w:rPr>
        <w:t>t</w:t>
      </w:r>
      <w:r>
        <w:rPr>
          <w:rFonts w:hint="default" w:ascii="Times New Roman" w:hAnsi="Times New Roman" w:cs="Times New Roman" w:eastAsiaTheme="minorEastAsia"/>
          <w:b w:val="0"/>
          <w:sz w:val="16"/>
          <w:szCs w:val="16"/>
        </w:rPr>
        <w:t>ypes</w:t>
      </w:r>
    </w:p>
    <w:p w14:paraId="16E3B86D">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social gain multiplier is: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15B0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7797" w:type="dxa"/>
            <w:tcBorders>
              <w:top w:val="nil"/>
              <w:left w:val="nil"/>
              <w:bottom w:val="nil"/>
              <w:right w:val="nil"/>
              <w:tl2br w:val="nil"/>
            </w:tcBorders>
            <w:shd w:val="clear" w:color="auto" w:fill="FFFFFF"/>
            <w:vAlign w:val="center"/>
          </w:tcPr>
          <w:p w14:paraId="3926F53B">
            <w:pPr>
              <w:adjustRightInd w:val="0"/>
              <w:snapToGrid w:val="0"/>
              <w:spacing w:line="228" w:lineRule="auto"/>
              <w:jc w:val="center"/>
              <w:rPr>
                <w:rFonts w:hint="eastAsia"/>
              </w:rPr>
            </w:pPr>
            <m:oMathPara>
              <m:oMathParaPr>
                <m:jc m:val="left"/>
              </m:oMathParaPr>
              <m:oMath>
                <m:sSub>
                  <m:sSubPr>
                    <m:ctrlPr>
                      <w:rPr>
                        <w:rFonts w:ascii="Cambria Math" w:hAnsi="Cambria Math"/>
                        <w:sz w:val="16"/>
                        <w:szCs w:val="16"/>
                      </w:rPr>
                    </m:ctrlPr>
                  </m:sSubPr>
                  <m:e>
                    <m:r>
                      <m:rPr/>
                      <w:rPr>
                        <w:rFonts w:ascii="Cambria Math"/>
                        <w:sz w:val="16"/>
                        <w:szCs w:val="16"/>
                      </w:rPr>
                      <m:t>η</m:t>
                    </m:r>
                    <m:ctrlPr>
                      <w:rPr>
                        <w:rFonts w:ascii="Cambria Math" w:hAnsi="Cambria Math"/>
                        <w:sz w:val="16"/>
                        <w:szCs w:val="16"/>
                      </w:rPr>
                    </m:ctrlPr>
                  </m:e>
                  <m:sub>
                    <m:r>
                      <m:rPr/>
                      <w:rPr>
                        <w:rFonts w:ascii="Cambria Math"/>
                        <w:sz w:val="16"/>
                        <w:szCs w:val="16"/>
                      </w:rPr>
                      <m:t>social</m:t>
                    </m:r>
                    <m:ctrlPr>
                      <w:rPr>
                        <w:rFonts w:ascii="Cambria Math" w:hAnsi="Cambria Math"/>
                        <w:sz w:val="16"/>
                        <w:szCs w:val="16"/>
                      </w:rPr>
                    </m:ctrlPr>
                  </m:sub>
                </m:sSub>
                <m:r>
                  <m:rPr/>
                  <w:rPr>
                    <w:rFonts w:ascii="Cambria Math"/>
                    <w:sz w:val="16"/>
                    <w:szCs w:val="16"/>
                  </w:rPr>
                  <m:t>=(1+0.3⋅</m:t>
                </m:r>
                <m:r>
                  <m:rPr>
                    <m:scr m:val="double-struck"/>
                  </m:rPr>
                  <w:rPr>
                    <w:rFonts w:ascii="Cambria Math"/>
                    <w:sz w:val="16"/>
                    <w:szCs w:val="16"/>
                  </w:rPr>
                  <m:t>1[</m:t>
                </m:r>
                <m:sSub>
                  <m:sSubPr>
                    <m:ctrlPr>
                      <w:rPr>
                        <w:rFonts w:ascii="Cambria Math" w:hAnsi="Cambria Math"/>
                        <w:sz w:val="16"/>
                        <w:szCs w:val="16"/>
                      </w:rPr>
                    </m:ctrlPr>
                  </m:sSubPr>
                  <m:e>
                    <m:r>
                      <m:rPr/>
                      <w:rPr>
                        <w:rFonts w:ascii="Cambria Math"/>
                        <w:sz w:val="16"/>
                        <w:szCs w:val="16"/>
                      </w:rPr>
                      <m:t>m</m:t>
                    </m:r>
                    <m:ctrlPr>
                      <w:rPr>
                        <w:rFonts w:ascii="Cambria Math" w:hAnsi="Cambria Math"/>
                        <w:sz w:val="16"/>
                        <w:szCs w:val="16"/>
                      </w:rPr>
                    </m:ctrlPr>
                  </m:e>
                  <m:sub>
                    <m:r>
                      <m:rPr/>
                      <w:rPr>
                        <w:rFonts w:ascii="Cambria Math"/>
                        <w:sz w:val="16"/>
                        <w:szCs w:val="16"/>
                      </w:rPr>
                      <m:t>1</m:t>
                    </m:r>
                    <m:ctrlPr>
                      <w:rPr>
                        <w:rFonts w:ascii="Cambria Math" w:hAnsi="Cambria Math"/>
                        <w:sz w:val="16"/>
                        <w:szCs w:val="16"/>
                      </w:rPr>
                    </m:ctrlPr>
                  </m:sub>
                </m:sSub>
                <m:r>
                  <m:rPr/>
                  <w:rPr>
                    <w:rFonts w:ascii="Cambria Math"/>
                    <w:sz w:val="16"/>
                    <w:szCs w:val="16"/>
                  </w:rPr>
                  <m:t>=E])</m:t>
                </m:r>
                <m:r>
                  <m:rPr>
                    <m:sty m:val="p"/>
                  </m:rPr>
                  <w:rPr>
                    <w:rFonts w:ascii="Cambria Math"/>
                    <w:sz w:val="16"/>
                    <w:szCs w:val="16"/>
                  </w:rPr>
                  <m:t>×</m:t>
                </m:r>
                <m:r>
                  <m:rPr/>
                  <w:rPr>
                    <w:rFonts w:ascii="Cambria Math"/>
                    <w:sz w:val="16"/>
                    <w:szCs w:val="16"/>
                  </w:rPr>
                  <m:t>(1+0.2⋅</m:t>
                </m:r>
                <m:r>
                  <m:rPr>
                    <m:scr m:val="double-struck"/>
                  </m:rPr>
                  <w:rPr>
                    <w:rFonts w:ascii="Cambria Math"/>
                    <w:sz w:val="16"/>
                    <w:szCs w:val="16"/>
                  </w:rPr>
                  <m:t>1[</m:t>
                </m:r>
                <m:sSub>
                  <m:sSubPr>
                    <m:ctrlPr>
                      <w:rPr>
                        <w:rFonts w:ascii="Cambria Math" w:hAnsi="Cambria Math"/>
                        <w:sz w:val="16"/>
                        <w:szCs w:val="16"/>
                      </w:rPr>
                    </m:ctrlPr>
                  </m:sSubPr>
                  <m:e>
                    <m:r>
                      <m:rPr/>
                      <w:rPr>
                        <w:rFonts w:ascii="Cambria Math"/>
                        <w:sz w:val="16"/>
                        <w:szCs w:val="16"/>
                      </w:rPr>
                      <m:t>m</m:t>
                    </m:r>
                    <m:ctrlPr>
                      <w:rPr>
                        <w:rFonts w:ascii="Cambria Math" w:hAnsi="Cambria Math"/>
                        <w:sz w:val="16"/>
                        <w:szCs w:val="16"/>
                      </w:rPr>
                    </m:ctrlPr>
                  </m:e>
                  <m:sub>
                    <m:r>
                      <m:rPr/>
                      <w:rPr>
                        <w:rFonts w:ascii="Cambria Math"/>
                        <w:sz w:val="16"/>
                        <w:szCs w:val="16"/>
                      </w:rPr>
                      <m:t>3</m:t>
                    </m:r>
                    <m:ctrlPr>
                      <w:rPr>
                        <w:rFonts w:ascii="Cambria Math" w:hAnsi="Cambria Math"/>
                        <w:sz w:val="16"/>
                        <w:szCs w:val="16"/>
                      </w:rPr>
                    </m:ctrlPr>
                  </m:sub>
                </m:sSub>
                <m:r>
                  <m:rPr/>
                  <w:rPr>
                    <w:rFonts w:ascii="Cambria Math"/>
                    <w:sz w:val="16"/>
                    <w:szCs w:val="16"/>
                  </w:rPr>
                  <m:t>=F])</m:t>
                </m:r>
              </m:oMath>
            </m:oMathPara>
          </w:p>
        </w:tc>
        <w:tc>
          <w:tcPr>
            <w:tcW w:w="725" w:type="dxa"/>
            <w:tcBorders>
              <w:top w:val="nil"/>
              <w:left w:val="nil"/>
              <w:bottom w:val="nil"/>
              <w:right w:val="nil"/>
            </w:tcBorders>
            <w:shd w:val="clear" w:color="auto" w:fill="FFFFFF"/>
            <w:vAlign w:val="center"/>
          </w:tcPr>
          <w:p w14:paraId="269AA4CA">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4</w:t>
            </w:r>
            <w:r>
              <w:rPr>
                <w:rFonts w:ascii="Times New Roman" w:hAnsi="Times New Roman" w:cs="Times New Roman"/>
                <w:color w:val="000000"/>
                <w:sz w:val="20"/>
                <w:szCs w:val="20"/>
              </w:rPr>
              <w:t>)</w:t>
            </w:r>
          </w:p>
        </w:tc>
      </w:tr>
    </w:tbl>
    <w:p w14:paraId="319FBF84">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ESFP type achieves the highest (1.56), ISTJ type the lowest (1.0).</w:t>
      </w:r>
    </w:p>
    <w:p w14:paraId="5883027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experience point acquisition multiplier η</w:t>
      </w:r>
      <w:r>
        <w:rPr>
          <w:rFonts w:ascii="Times New Roman" w:hAnsi="Times New Roman" w:cs="Times New Roman"/>
          <w:sz w:val="20"/>
          <w:szCs w:val="20"/>
          <w:vertAlign w:val="subscript"/>
        </w:rPr>
        <w:t>xp</w:t>
      </w:r>
      <w:r>
        <w:rPr>
          <w:rFonts w:ascii="Times New Roman" w:hAnsi="Times New Roman" w:cs="Times New Roman"/>
          <w:sz w:val="20"/>
          <w:szCs w:val="20"/>
        </w:rPr>
        <w:t xml:space="preserve"> reflects personality's influence on learning and growth speed: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7D8E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7797" w:type="dxa"/>
            <w:tcBorders>
              <w:top w:val="nil"/>
              <w:left w:val="nil"/>
              <w:bottom w:val="nil"/>
              <w:right w:val="nil"/>
              <w:tl2br w:val="nil"/>
            </w:tcBorders>
            <w:shd w:val="clear" w:color="auto" w:fill="FFFFFF"/>
            <w:vAlign w:val="center"/>
          </w:tcPr>
          <w:p w14:paraId="3502956E">
            <w:pPr>
              <w:adjustRightInd w:val="0"/>
              <w:snapToGrid w:val="0"/>
              <w:spacing w:line="228" w:lineRule="auto"/>
              <w:jc w:val="center"/>
              <w:rPr>
                <w:rFonts w:hint="eastAsia"/>
              </w:rPr>
            </w:pPr>
            <m:oMathPara>
              <m:oMathParaPr>
                <m:jc m:val="left"/>
              </m:oMathParaPr>
              <m:oMath>
                <m:sSub>
                  <m:sSubPr>
                    <m:ctrlPr>
                      <w:rPr>
                        <w:rFonts w:ascii="Cambria Math" w:hAnsi="Cambria Math"/>
                        <w:sz w:val="16"/>
                        <w:szCs w:val="16"/>
                      </w:rPr>
                    </m:ctrlPr>
                  </m:sSubPr>
                  <m:e>
                    <m:r>
                      <m:rPr/>
                      <w:rPr>
                        <w:rFonts w:ascii="Cambria Math"/>
                        <w:sz w:val="16"/>
                        <w:szCs w:val="16"/>
                      </w:rPr>
                      <m:t>η</m:t>
                    </m:r>
                    <m:ctrlPr>
                      <w:rPr>
                        <w:rFonts w:ascii="Cambria Math" w:hAnsi="Cambria Math"/>
                        <w:sz w:val="16"/>
                        <w:szCs w:val="16"/>
                      </w:rPr>
                    </m:ctrlPr>
                  </m:e>
                  <m:sub>
                    <m:r>
                      <m:rPr/>
                      <w:rPr>
                        <w:rFonts w:ascii="Cambria Math"/>
                        <w:sz w:val="16"/>
                        <w:szCs w:val="16"/>
                      </w:rPr>
                      <m:t>xp</m:t>
                    </m:r>
                    <m:ctrlPr>
                      <w:rPr>
                        <w:rFonts w:ascii="Cambria Math" w:hAnsi="Cambria Math"/>
                        <w:sz w:val="16"/>
                        <w:szCs w:val="16"/>
                      </w:rPr>
                    </m:ctrlPr>
                  </m:sub>
                </m:sSub>
                <m:r>
                  <m:rPr/>
                  <w:rPr>
                    <w:rFonts w:ascii="Cambria Math"/>
                    <w:sz w:val="16"/>
                    <w:szCs w:val="16"/>
                  </w:rPr>
                  <m:t>=(1+0.15⋅</m:t>
                </m:r>
                <m:r>
                  <m:rPr>
                    <m:scr m:val="double-struck"/>
                  </m:rPr>
                  <w:rPr>
                    <w:rFonts w:ascii="Cambria Math"/>
                    <w:sz w:val="16"/>
                    <w:szCs w:val="16"/>
                  </w:rPr>
                  <m:t>1[</m:t>
                </m:r>
                <m:sSub>
                  <m:sSubPr>
                    <m:ctrlPr>
                      <w:rPr>
                        <w:rFonts w:ascii="Cambria Math" w:hAnsi="Cambria Math"/>
                        <w:sz w:val="16"/>
                        <w:szCs w:val="16"/>
                      </w:rPr>
                    </m:ctrlPr>
                  </m:sSubPr>
                  <m:e>
                    <m:r>
                      <m:rPr/>
                      <w:rPr>
                        <w:rFonts w:ascii="Cambria Math"/>
                        <w:sz w:val="16"/>
                        <w:szCs w:val="16"/>
                      </w:rPr>
                      <m:t>m</m:t>
                    </m:r>
                    <m:ctrlPr>
                      <w:rPr>
                        <w:rFonts w:ascii="Cambria Math" w:hAnsi="Cambria Math"/>
                        <w:sz w:val="16"/>
                        <w:szCs w:val="16"/>
                      </w:rPr>
                    </m:ctrlPr>
                  </m:e>
                  <m:sub>
                    <m:r>
                      <m:rPr/>
                      <w:rPr>
                        <w:rFonts w:ascii="Cambria Math"/>
                        <w:sz w:val="16"/>
                        <w:szCs w:val="16"/>
                      </w:rPr>
                      <m:t>2</m:t>
                    </m:r>
                    <m:ctrlPr>
                      <w:rPr>
                        <w:rFonts w:ascii="Cambria Math" w:hAnsi="Cambria Math"/>
                        <w:sz w:val="16"/>
                        <w:szCs w:val="16"/>
                      </w:rPr>
                    </m:ctrlPr>
                  </m:sub>
                </m:sSub>
                <m:r>
                  <m:rPr/>
                  <w:rPr>
                    <w:rFonts w:ascii="Cambria Math"/>
                    <w:sz w:val="16"/>
                    <w:szCs w:val="16"/>
                  </w:rPr>
                  <m:t>=N]⋅</m:t>
                </m:r>
                <m:r>
                  <m:rPr>
                    <m:scr m:val="double-struck"/>
                  </m:rPr>
                  <w:rPr>
                    <w:rFonts w:ascii="Cambria Math"/>
                    <w:sz w:val="16"/>
                    <w:szCs w:val="16"/>
                  </w:rPr>
                  <m:t>1[</m:t>
                </m:r>
                <m:r>
                  <m:rPr/>
                  <w:rPr>
                    <w:rFonts w:ascii="Cambria Math"/>
                    <w:sz w:val="16"/>
                    <w:szCs w:val="16"/>
                  </w:rPr>
                  <m:t>d≥3])</m:t>
                </m:r>
                <m:r>
                  <m:rPr>
                    <m:sty m:val="p"/>
                  </m:rPr>
                  <w:rPr>
                    <w:rFonts w:ascii="Cambria Math"/>
                    <w:sz w:val="16"/>
                    <w:szCs w:val="16"/>
                  </w:rPr>
                  <m:t>×</m:t>
                </m:r>
                <m:r>
                  <m:rPr/>
                  <w:rPr>
                    <w:rFonts w:ascii="Cambria Math"/>
                    <w:sz w:val="16"/>
                    <w:szCs w:val="16"/>
                  </w:rPr>
                  <m:t>(1+0.05⋅</m:t>
                </m:r>
                <m:r>
                  <m:rPr>
                    <m:scr m:val="double-struck"/>
                  </m:rPr>
                  <w:rPr>
                    <w:rFonts w:ascii="Cambria Math"/>
                    <w:sz w:val="16"/>
                    <w:szCs w:val="16"/>
                  </w:rPr>
                  <m:t>1[</m:t>
                </m:r>
                <m:sSub>
                  <m:sSubPr>
                    <m:ctrlPr>
                      <w:rPr>
                        <w:rFonts w:ascii="Cambria Math" w:hAnsi="Cambria Math"/>
                        <w:sz w:val="16"/>
                        <w:szCs w:val="16"/>
                      </w:rPr>
                    </m:ctrlPr>
                  </m:sSubPr>
                  <m:e>
                    <m:r>
                      <m:rPr/>
                      <w:rPr>
                        <w:rFonts w:ascii="Cambria Math"/>
                        <w:sz w:val="16"/>
                        <w:szCs w:val="16"/>
                      </w:rPr>
                      <m:t>m</m:t>
                    </m:r>
                    <m:ctrlPr>
                      <w:rPr>
                        <w:rFonts w:ascii="Cambria Math" w:hAnsi="Cambria Math"/>
                        <w:sz w:val="16"/>
                        <w:szCs w:val="16"/>
                      </w:rPr>
                    </m:ctrlPr>
                  </m:e>
                  <m:sub>
                    <m:r>
                      <m:rPr/>
                      <w:rPr>
                        <w:rFonts w:ascii="Cambria Math"/>
                        <w:sz w:val="16"/>
                        <w:szCs w:val="16"/>
                      </w:rPr>
                      <m:t>3</m:t>
                    </m:r>
                    <m:ctrlPr>
                      <w:rPr>
                        <w:rFonts w:ascii="Cambria Math" w:hAnsi="Cambria Math"/>
                        <w:sz w:val="16"/>
                        <w:szCs w:val="16"/>
                      </w:rPr>
                    </m:ctrlPr>
                  </m:sub>
                </m:sSub>
                <m:r>
                  <m:rPr/>
                  <w:rPr>
                    <w:rFonts w:ascii="Cambria Math"/>
                    <w:sz w:val="16"/>
                    <w:szCs w:val="16"/>
                  </w:rPr>
                  <m:t>=T])</m:t>
                </m:r>
              </m:oMath>
            </m:oMathPara>
          </w:p>
        </w:tc>
        <w:tc>
          <w:tcPr>
            <w:tcW w:w="725" w:type="dxa"/>
            <w:tcBorders>
              <w:top w:val="nil"/>
              <w:left w:val="nil"/>
              <w:bottom w:val="nil"/>
              <w:right w:val="nil"/>
            </w:tcBorders>
            <w:shd w:val="clear" w:color="auto" w:fill="FFFFFF"/>
            <w:vAlign w:val="center"/>
          </w:tcPr>
          <w:p w14:paraId="3F2B5CA6">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5</w:t>
            </w:r>
            <w:r>
              <w:rPr>
                <w:rFonts w:ascii="Times New Roman" w:hAnsi="Times New Roman" w:cs="Times New Roman"/>
                <w:color w:val="000000"/>
                <w:sz w:val="20"/>
                <w:szCs w:val="20"/>
              </w:rPr>
              <w:t>)</w:t>
            </w:r>
          </w:p>
        </w:tc>
      </w:tr>
    </w:tbl>
    <w:p w14:paraId="539ED0FD">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where d is the task difficulty level. Intuitive types (N) receive a 15% XP bonus when handling complex tasks with difficulty ≥3; Thinking types (T) receive a 5% efficiency bonus on all tasks.</w:t>
      </w:r>
    </w:p>
    <w:p w14:paraId="0EC45ED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To implement personalized task assignment, the system computes preference scores for each agent toward various tasks: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70CF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7797" w:type="dxa"/>
            <w:tcBorders>
              <w:top w:val="nil"/>
              <w:left w:val="nil"/>
              <w:bottom w:val="nil"/>
              <w:right w:val="nil"/>
              <w:tl2br w:val="nil"/>
            </w:tcBorders>
            <w:shd w:val="clear" w:color="auto" w:fill="FFFFFF"/>
            <w:vAlign w:val="center"/>
          </w:tcPr>
          <w:p w14:paraId="1E772B49">
            <w:pPr>
              <w:adjustRightInd w:val="0"/>
              <w:snapToGrid w:val="0"/>
              <w:spacing w:line="228" w:lineRule="auto"/>
              <w:jc w:val="center"/>
              <w:rPr>
                <w:rFonts w:hint="eastAsia"/>
              </w:rPr>
            </w:pPr>
            <m:oMathPara>
              <m:oMathParaPr>
                <m:jc m:val="left"/>
              </m:oMathParaPr>
              <m:oMath>
                <m:r>
                  <m:rPr/>
                  <w:rPr>
                    <w:rFonts w:ascii="Cambria Math"/>
                    <w:sz w:val="16"/>
                    <w:szCs w:val="16"/>
                  </w:rPr>
                  <m:t>P(a,t)=</m:t>
                </m:r>
                <m:sSub>
                  <m:sSubPr>
                    <m:ctrlPr>
                      <w:rPr>
                        <w:rFonts w:ascii="Cambria Math" w:hAnsi="Cambria Math"/>
                        <w:sz w:val="16"/>
                        <w:szCs w:val="16"/>
                      </w:rPr>
                    </m:ctrlPr>
                  </m:sSubPr>
                  <m:e>
                    <m:r>
                      <m:rPr/>
                      <w:rPr>
                        <w:rFonts w:ascii="Cambria Math"/>
                        <w:sz w:val="16"/>
                        <w:szCs w:val="16"/>
                      </w:rPr>
                      <m:t>P</m:t>
                    </m:r>
                    <m:ctrlPr>
                      <w:rPr>
                        <w:rFonts w:ascii="Cambria Math" w:hAnsi="Cambria Math"/>
                        <w:sz w:val="16"/>
                        <w:szCs w:val="16"/>
                      </w:rPr>
                    </m:ctrlPr>
                  </m:e>
                  <m:sub>
                    <m:r>
                      <m:rPr/>
                      <w:rPr>
                        <w:rFonts w:ascii="Cambria Math"/>
                        <w:sz w:val="16"/>
                        <w:szCs w:val="16"/>
                      </w:rPr>
                      <m:t>base</m:t>
                    </m:r>
                    <m:ctrlPr>
                      <w:rPr>
                        <w:rFonts w:ascii="Cambria Math" w:hAnsi="Cambria Math"/>
                        <w:sz w:val="16"/>
                        <w:szCs w:val="16"/>
                      </w:rPr>
                    </m:ctrlPr>
                  </m:sub>
                </m:sSub>
                <m:r>
                  <m:rPr/>
                  <w:rPr>
                    <w:rFonts w:ascii="Cambria Math"/>
                    <w:sz w:val="16"/>
                    <w:szCs w:val="16"/>
                  </w:rPr>
                  <m:t>+</m:t>
                </m:r>
                <m:sSub>
                  <m:sSubPr>
                    <m:ctrlPr>
                      <w:rPr>
                        <w:rFonts w:ascii="Cambria Math" w:hAnsi="Cambria Math"/>
                        <w:sz w:val="16"/>
                        <w:szCs w:val="16"/>
                      </w:rPr>
                    </m:ctrlPr>
                  </m:sSubPr>
                  <m:e>
                    <m:r>
                      <m:rPr/>
                      <w:rPr>
                        <w:rFonts w:ascii="Cambria Math"/>
                        <w:sz w:val="16"/>
                        <w:szCs w:val="16"/>
                      </w:rPr>
                      <m:t>P</m:t>
                    </m:r>
                    <m:ctrlPr>
                      <w:rPr>
                        <w:rFonts w:ascii="Cambria Math" w:hAnsi="Cambria Math"/>
                        <w:sz w:val="16"/>
                        <w:szCs w:val="16"/>
                      </w:rPr>
                    </m:ctrlPr>
                  </m:e>
                  <m:sub>
                    <m:r>
                      <m:rPr/>
                      <w:rPr>
                        <w:rFonts w:ascii="Cambria Math"/>
                        <w:sz w:val="16"/>
                        <w:szCs w:val="16"/>
                      </w:rPr>
                      <m:t>tag</m:t>
                    </m:r>
                    <m:ctrlPr>
                      <w:rPr>
                        <w:rFonts w:ascii="Cambria Math" w:hAnsi="Cambria Math"/>
                        <w:sz w:val="16"/>
                        <w:szCs w:val="16"/>
                      </w:rPr>
                    </m:ctrlPr>
                  </m:sub>
                </m:sSub>
                <m:r>
                  <m:rPr/>
                  <w:rPr>
                    <w:rFonts w:ascii="Cambria Math"/>
                    <w:sz w:val="16"/>
                    <w:szCs w:val="16"/>
                  </w:rPr>
                  <m:t>+</m:t>
                </m:r>
                <m:sSub>
                  <m:sSubPr>
                    <m:ctrlPr>
                      <w:rPr>
                        <w:rFonts w:ascii="Cambria Math" w:hAnsi="Cambria Math"/>
                        <w:sz w:val="16"/>
                        <w:szCs w:val="16"/>
                      </w:rPr>
                    </m:ctrlPr>
                  </m:sSubPr>
                  <m:e>
                    <m:r>
                      <m:rPr/>
                      <w:rPr>
                        <w:rFonts w:ascii="Cambria Math"/>
                        <w:sz w:val="16"/>
                        <w:szCs w:val="16"/>
                      </w:rPr>
                      <m:t>P</m:t>
                    </m:r>
                    <m:ctrlPr>
                      <w:rPr>
                        <w:rFonts w:ascii="Cambria Math" w:hAnsi="Cambria Math"/>
                        <w:sz w:val="16"/>
                        <w:szCs w:val="16"/>
                      </w:rPr>
                    </m:ctrlPr>
                  </m:e>
                  <m:sub>
                    <m:r>
                      <m:rPr/>
                      <w:rPr>
                        <w:rFonts w:ascii="Cambria Math"/>
                        <w:sz w:val="16"/>
                        <w:szCs w:val="16"/>
                      </w:rPr>
                      <m:t>attr</m:t>
                    </m:r>
                    <m:ctrlPr>
                      <w:rPr>
                        <w:rFonts w:ascii="Cambria Math" w:hAnsi="Cambria Math"/>
                        <w:sz w:val="16"/>
                        <w:szCs w:val="16"/>
                      </w:rPr>
                    </m:ctrlPr>
                  </m:sub>
                </m:sSub>
                <m:r>
                  <m:rPr/>
                  <w:rPr>
                    <w:rFonts w:ascii="Cambria Math"/>
                    <w:sz w:val="16"/>
                    <w:szCs w:val="16"/>
                  </w:rPr>
                  <m:t>+</m:t>
                </m:r>
                <m:sSub>
                  <m:sSubPr>
                    <m:ctrlPr>
                      <w:rPr>
                        <w:rFonts w:ascii="Cambria Math" w:hAnsi="Cambria Math"/>
                        <w:sz w:val="16"/>
                        <w:szCs w:val="16"/>
                      </w:rPr>
                    </m:ctrlPr>
                  </m:sSubPr>
                  <m:e>
                    <m:r>
                      <m:rPr/>
                      <w:rPr>
                        <w:rFonts w:ascii="Cambria Math"/>
                        <w:sz w:val="16"/>
                        <w:szCs w:val="16"/>
                      </w:rPr>
                      <m:t>P</m:t>
                    </m:r>
                    <m:ctrlPr>
                      <w:rPr>
                        <w:rFonts w:ascii="Cambria Math" w:hAnsi="Cambria Math"/>
                        <w:sz w:val="16"/>
                        <w:szCs w:val="16"/>
                      </w:rPr>
                    </m:ctrlPr>
                  </m:e>
                  <m:sub>
                    <m:r>
                      <m:rPr/>
                      <w:rPr>
                        <w:rFonts w:ascii="Cambria Math"/>
                        <w:sz w:val="16"/>
                        <w:szCs w:val="16"/>
                      </w:rPr>
                      <m:t>diff</m:t>
                    </m:r>
                    <m:ctrlPr>
                      <w:rPr>
                        <w:rFonts w:ascii="Cambria Math" w:hAnsi="Cambria Math"/>
                        <w:sz w:val="16"/>
                        <w:szCs w:val="16"/>
                      </w:rPr>
                    </m:ctrlPr>
                  </m:sub>
                </m:sSub>
              </m:oMath>
            </m:oMathPara>
          </w:p>
        </w:tc>
        <w:tc>
          <w:tcPr>
            <w:tcW w:w="725" w:type="dxa"/>
            <w:tcBorders>
              <w:top w:val="nil"/>
              <w:left w:val="nil"/>
              <w:bottom w:val="nil"/>
              <w:right w:val="nil"/>
            </w:tcBorders>
            <w:shd w:val="clear" w:color="auto" w:fill="FFFFFF"/>
            <w:vAlign w:val="center"/>
          </w:tcPr>
          <w:p w14:paraId="5CC44671">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6</w:t>
            </w:r>
            <w:r>
              <w:rPr>
                <w:rFonts w:ascii="Times New Roman" w:hAnsi="Times New Roman" w:cs="Times New Roman"/>
                <w:color w:val="000000"/>
                <w:sz w:val="20"/>
                <w:szCs w:val="20"/>
              </w:rPr>
              <w:t>)</w:t>
            </w:r>
          </w:p>
        </w:tc>
      </w:tr>
    </w:tbl>
    <w:p w14:paraId="594B710F">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Where P</w:t>
      </w:r>
      <w:r>
        <w:rPr>
          <w:rFonts w:ascii="Times New Roman" w:hAnsi="Times New Roman" w:cs="Times New Roman"/>
          <w:sz w:val="20"/>
          <w:szCs w:val="20"/>
          <w:vertAlign w:val="subscript"/>
        </w:rPr>
        <w:t>base</w:t>
      </w:r>
      <w:r>
        <w:rPr>
          <w:rFonts w:ascii="Times New Roman" w:hAnsi="Times New Roman" w:cs="Times New Roman"/>
          <w:sz w:val="20"/>
          <w:szCs w:val="20"/>
        </w:rPr>
        <w:t xml:space="preserve"> =50 is the baseline score; P</w:t>
      </w:r>
      <w:r>
        <w:rPr>
          <w:rFonts w:ascii="Times New Roman" w:hAnsi="Times New Roman" w:cs="Times New Roman"/>
          <w:sz w:val="20"/>
          <w:szCs w:val="20"/>
          <w:vertAlign w:val="subscript"/>
        </w:rPr>
        <w:t>tag</w:t>
      </w:r>
      <w:r>
        <w:rPr>
          <w:rFonts w:ascii="Times New Roman" w:hAnsi="Times New Roman" w:cs="Times New Roman"/>
          <w:sz w:val="20"/>
          <w:szCs w:val="20"/>
        </w:rPr>
        <w:t xml:space="preserve"> is the MBTI tag matching score (Sensing types prefer management/routine; Intuitive types prefer creative/innovation; Thinking types prefer technical; Feeling types prefer social); P</w:t>
      </w:r>
      <w:r>
        <w:rPr>
          <w:rFonts w:ascii="Times New Roman" w:hAnsi="Times New Roman" w:cs="Times New Roman"/>
          <w:sz w:val="20"/>
          <w:szCs w:val="20"/>
          <w:vertAlign w:val="subscript"/>
        </w:rPr>
        <w:t>attr</w:t>
      </w:r>
      <w:r>
        <w:rPr>
          <w:rFonts w:ascii="Times New Roman" w:hAnsi="Times New Roman" w:cs="Times New Roman"/>
          <w:sz w:val="20"/>
          <w:szCs w:val="20"/>
        </w:rPr>
        <w:t xml:space="preserve"> is the attribute bonus (agent attributes divided by 10 and summed); P</w:t>
      </w:r>
      <w:r>
        <w:rPr>
          <w:rFonts w:ascii="Times New Roman" w:hAnsi="Times New Roman" w:cs="Times New Roman"/>
          <w:sz w:val="20"/>
          <w:szCs w:val="20"/>
          <w:vertAlign w:val="subscript"/>
        </w:rPr>
        <w:t>diff</w:t>
      </w:r>
      <w:r>
        <w:rPr>
          <w:rFonts w:ascii="Times New Roman" w:hAnsi="Times New Roman" w:cs="Times New Roman"/>
          <w:sz w:val="20"/>
          <w:szCs w:val="20"/>
        </w:rPr>
        <w:t xml:space="preserve"> is the difficulty preference bonus (Intuitive types +10 points for tasks with difficulty ≥3). Preference alignment is divided into three tiers: high (P≥70), medium (40≤P&lt;70), low (P&lt;40).</w:t>
      </w:r>
    </w:p>
    <w:p w14:paraId="3E3D2BFC">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2.6</w:t>
      </w:r>
      <w:r>
        <w:rPr>
          <w:rFonts w:ascii="Times New Roman" w:hAnsi="Times New Roman" w:cs="Times New Roman"/>
          <w:b/>
          <w:sz w:val="20"/>
          <w:szCs w:val="20"/>
        </w:rPr>
        <w:t xml:space="preserve"> Four</w:t>
      </w:r>
      <w:r>
        <w:rPr>
          <w:rFonts w:ascii="Times New Roman" w:hAnsi="Times New Roman" w:cs="Times New Roman"/>
          <w:b w:val="0"/>
          <w:bCs/>
          <w:sz w:val="20"/>
          <w:szCs w:val="20"/>
        </w:rPr>
        <w:t>-</w:t>
      </w:r>
      <w:r>
        <w:rPr>
          <w:rFonts w:hint="eastAsia" w:ascii="Times New Roman" w:hAnsi="Times New Roman" w:cs="Times New Roman"/>
          <w:b/>
          <w:bCs w:val="0"/>
          <w:sz w:val="20"/>
          <w:szCs w:val="20"/>
          <w:lang w:val="en-US" w:eastAsia="zh-CN"/>
        </w:rPr>
        <w:t>l</w:t>
      </w:r>
      <w:r>
        <w:rPr>
          <w:rFonts w:ascii="Times New Roman" w:hAnsi="Times New Roman" w:cs="Times New Roman"/>
          <w:b/>
          <w:sz w:val="20"/>
          <w:szCs w:val="20"/>
        </w:rPr>
        <w:t xml:space="preserve">ayer </w:t>
      </w:r>
      <w:r>
        <w:rPr>
          <w:rFonts w:hint="eastAsia" w:ascii="Times New Roman" w:hAnsi="Times New Roman" w:cs="Times New Roman"/>
          <w:b/>
          <w:sz w:val="20"/>
          <w:szCs w:val="20"/>
          <w:lang w:val="en-US" w:eastAsia="zh-CN"/>
        </w:rPr>
        <w:t>d</w:t>
      </w:r>
      <w:r>
        <w:rPr>
          <w:rFonts w:ascii="Times New Roman" w:hAnsi="Times New Roman" w:cs="Times New Roman"/>
          <w:b/>
          <w:sz w:val="20"/>
          <w:szCs w:val="20"/>
        </w:rPr>
        <w:t xml:space="preserve">ecision </w:t>
      </w:r>
      <w:r>
        <w:rPr>
          <w:rFonts w:hint="eastAsia" w:ascii="Times New Roman" w:hAnsi="Times New Roman" w:cs="Times New Roman"/>
          <w:b/>
          <w:sz w:val="20"/>
          <w:szCs w:val="20"/>
          <w:lang w:val="en-US" w:eastAsia="zh-CN"/>
        </w:rPr>
        <w:t>a</w:t>
      </w:r>
      <w:r>
        <w:rPr>
          <w:rFonts w:ascii="Times New Roman" w:hAnsi="Times New Roman" w:cs="Times New Roman"/>
          <w:b/>
          <w:sz w:val="20"/>
          <w:szCs w:val="20"/>
        </w:rPr>
        <w:t>rchitecture</w:t>
      </w:r>
    </w:p>
    <w:p w14:paraId="4BCD2CBA">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decision process is organized into four levels. Figure 4 shows the flowchart of the four-layer decision architecture.</w:t>
      </w:r>
    </w:p>
    <w:p w14:paraId="1939AEAB">
      <w:pPr>
        <w:adjustRightInd w:val="0"/>
        <w:snapToGrid w:val="0"/>
        <w:spacing w:line="228" w:lineRule="auto"/>
        <w:rPr>
          <w:rFonts w:ascii="Times New Roman" w:hAnsi="Times New Roman" w:cs="Times New Roman"/>
          <w:sz w:val="20"/>
          <w:szCs w:val="20"/>
        </w:rPr>
      </w:pPr>
    </w:p>
    <w:p w14:paraId="54EE9A74">
      <w:pPr>
        <w:adjustRightInd w:val="0"/>
        <w:snapToGrid w:val="0"/>
        <w:spacing w:line="228" w:lineRule="auto"/>
        <w:jc w:val="center"/>
        <w:rPr>
          <w:rFonts w:ascii="Times New Roman" w:hAnsi="Times New Roman" w:cs="Times New Roman"/>
          <w:sz w:val="16"/>
          <w:szCs w:val="16"/>
        </w:rPr>
      </w:pPr>
      <w:r>
        <w:drawing>
          <wp:inline distT="0" distB="0" distL="0" distR="0">
            <wp:extent cx="4023360" cy="2489835"/>
            <wp:effectExtent l="0" t="0" r="0" b="5715"/>
            <wp:docPr id="17" name="图片 17" descr="fig4_decision_architecture"/>
            <wp:cNvGraphicFramePr/>
            <a:graphic xmlns:a="http://schemas.openxmlformats.org/drawingml/2006/main">
              <a:graphicData uri="http://schemas.openxmlformats.org/drawingml/2006/picture">
                <pic:pic xmlns:pic="http://schemas.openxmlformats.org/drawingml/2006/picture">
                  <pic:nvPicPr>
                    <pic:cNvPr id="17" name="图片 17" descr="fig4_decision_architecture"/>
                    <pic:cNvPicPr/>
                  </pic:nvPicPr>
                  <pic:blipFill>
                    <a:blip r:embed="rId8"/>
                    <a:srcRect t="8706" b="8809"/>
                    <a:stretch>
                      <a:fillRect/>
                    </a:stretch>
                  </pic:blipFill>
                  <pic:spPr>
                    <a:xfrm>
                      <a:off x="0" y="0"/>
                      <a:ext cx="4023360" cy="2489835"/>
                    </a:xfrm>
                    <a:prstGeom prst="rect">
                      <a:avLst/>
                    </a:prstGeom>
                  </pic:spPr>
                </pic:pic>
              </a:graphicData>
            </a:graphic>
          </wp:inline>
        </w:drawing>
      </w:r>
    </w:p>
    <w:p w14:paraId="60A84727">
      <w:pPr>
        <w:pStyle w:val="16"/>
        <w:numPr>
          <w:ilvl w:val="0"/>
          <w:numId w:val="0"/>
        </w:numPr>
        <w:tabs>
          <w:tab w:val="clear" w:pos="0"/>
        </w:tabs>
        <w:adjustRightInd w:val="0"/>
        <w:snapToGrid w:val="0"/>
        <w:spacing w:before="109" w:after="156"/>
        <w:rPr>
          <w:rFonts w:hint="default" w:ascii="Times New Roman" w:hAnsi="Times New Roman" w:cs="Times New Roman" w:eastAsiaTheme="minorEastAsia"/>
          <w:b w:val="0"/>
          <w:sz w:val="16"/>
          <w:szCs w:val="16"/>
        </w:rPr>
      </w:pPr>
      <w:r>
        <w:rPr>
          <w:rFonts w:hint="default" w:ascii="Times New Roman" w:hAnsi="Times New Roman" w:cs="Times New Roman" w:eastAsiaTheme="minorEastAsia"/>
          <w:b/>
          <w:bCs/>
          <w:sz w:val="16"/>
          <w:szCs w:val="16"/>
        </w:rPr>
        <w:t>Fig.4.</w:t>
      </w:r>
      <w:r>
        <w:rPr>
          <w:rFonts w:hint="default" w:ascii="Times New Roman" w:hAnsi="Times New Roman" w:cs="Times New Roman" w:eastAsiaTheme="minorEastAsia"/>
          <w:b w:val="0"/>
          <w:sz w:val="16"/>
          <w:szCs w:val="16"/>
        </w:rPr>
        <w:t xml:space="preserve">  Flowchart of the </w:t>
      </w:r>
      <w:r>
        <w:rPr>
          <w:rFonts w:hint="eastAsia" w:cs="Times New Roman" w:eastAsiaTheme="minorEastAsia"/>
          <w:b w:val="0"/>
          <w:sz w:val="16"/>
          <w:szCs w:val="16"/>
          <w:lang w:val="en-US" w:eastAsia="zh-CN"/>
        </w:rPr>
        <w:t>f</w:t>
      </w:r>
      <w:r>
        <w:rPr>
          <w:rFonts w:hint="default" w:ascii="Times New Roman" w:hAnsi="Times New Roman" w:cs="Times New Roman" w:eastAsiaTheme="minorEastAsia"/>
          <w:b w:val="0"/>
          <w:sz w:val="16"/>
          <w:szCs w:val="16"/>
        </w:rPr>
        <w:t xml:space="preserve">our-layer </w:t>
      </w:r>
      <w:r>
        <w:rPr>
          <w:rFonts w:hint="eastAsia" w:cs="Times New Roman" w:eastAsiaTheme="minorEastAsia"/>
          <w:b w:val="0"/>
          <w:sz w:val="16"/>
          <w:szCs w:val="16"/>
          <w:lang w:val="en-US" w:eastAsia="zh-CN"/>
        </w:rPr>
        <w:t>d</w:t>
      </w:r>
      <w:r>
        <w:rPr>
          <w:rFonts w:hint="default" w:ascii="Times New Roman" w:hAnsi="Times New Roman" w:cs="Times New Roman" w:eastAsiaTheme="minorEastAsia"/>
          <w:b w:val="0"/>
          <w:sz w:val="16"/>
          <w:szCs w:val="16"/>
        </w:rPr>
        <w:t xml:space="preserve">ecision-making </w:t>
      </w:r>
      <w:r>
        <w:rPr>
          <w:rFonts w:hint="eastAsia" w:cs="Times New Roman" w:eastAsiaTheme="minorEastAsia"/>
          <w:b w:val="0"/>
          <w:sz w:val="16"/>
          <w:szCs w:val="16"/>
          <w:lang w:val="en-US" w:eastAsia="zh-CN"/>
        </w:rPr>
        <w:t>a</w:t>
      </w:r>
      <w:r>
        <w:rPr>
          <w:rFonts w:hint="default" w:ascii="Times New Roman" w:hAnsi="Times New Roman" w:cs="Times New Roman" w:eastAsiaTheme="minorEastAsia"/>
          <w:b w:val="0"/>
          <w:sz w:val="16"/>
          <w:szCs w:val="16"/>
        </w:rPr>
        <w:t>rchitecture</w:t>
      </w:r>
    </w:p>
    <w:p w14:paraId="32BE9C67">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Layer 1: Active Event Participation—When active events exist, the agent evaluates an interest score: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2C1C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7797" w:type="dxa"/>
            <w:tcBorders>
              <w:top w:val="nil"/>
              <w:left w:val="nil"/>
              <w:bottom w:val="nil"/>
              <w:right w:val="nil"/>
              <w:tl2br w:val="nil"/>
            </w:tcBorders>
            <w:shd w:val="clear" w:color="auto" w:fill="FFFFFF"/>
            <w:vAlign w:val="center"/>
          </w:tcPr>
          <w:p w14:paraId="5582F136">
            <w:pPr>
              <w:adjustRightInd w:val="0"/>
              <w:snapToGrid w:val="0"/>
              <w:spacing w:line="228" w:lineRule="auto"/>
              <w:jc w:val="center"/>
              <w:rPr>
                <w:rFonts w:hint="eastAsia"/>
              </w:rPr>
            </w:pPr>
            <m:oMathPara>
              <m:oMathParaPr>
                <m:jc m:val="left"/>
              </m:oMathParaPr>
              <m:oMath>
                <m:sSub>
                  <m:sSubPr>
                    <m:ctrlPr>
                      <w:rPr>
                        <w:rFonts w:ascii="Cambria Math" w:hAnsi="Cambria Math"/>
                        <w:sz w:val="16"/>
                        <w:szCs w:val="16"/>
                      </w:rPr>
                    </m:ctrlPr>
                  </m:sSubPr>
                  <m:e>
                    <m:r>
                      <m:rPr/>
                      <w:rPr>
                        <w:rFonts w:ascii="Cambria Math"/>
                        <w:sz w:val="16"/>
                        <w:szCs w:val="16"/>
                      </w:rPr>
                      <m:t>I</m:t>
                    </m:r>
                    <m:ctrlPr>
                      <w:rPr>
                        <w:rFonts w:ascii="Cambria Math" w:hAnsi="Cambria Math"/>
                        <w:sz w:val="16"/>
                        <w:szCs w:val="16"/>
                      </w:rPr>
                    </m:ctrlPr>
                  </m:e>
                  <m:sub>
                    <m:r>
                      <m:rPr/>
                      <w:rPr>
                        <w:rFonts w:ascii="Cambria Math"/>
                        <w:sz w:val="16"/>
                        <w:szCs w:val="16"/>
                      </w:rPr>
                      <m:t>event</m:t>
                    </m:r>
                    <m:ctrlPr>
                      <w:rPr>
                        <w:rFonts w:ascii="Cambria Math" w:hAnsi="Cambria Math"/>
                        <w:sz w:val="16"/>
                        <w:szCs w:val="16"/>
                      </w:rPr>
                    </m:ctrlPr>
                  </m:sub>
                </m:sSub>
                <m:r>
                  <m:rPr/>
                  <w:rPr>
                    <w:rFonts w:ascii="Cambria Math"/>
                    <w:sz w:val="16"/>
                    <w:szCs w:val="16"/>
                  </w:rPr>
                  <m:t>=50+</m:t>
                </m:r>
                <m:sSub>
                  <m:sSubPr>
                    <m:ctrlPr>
                      <w:rPr>
                        <w:rFonts w:ascii="Cambria Math" w:hAnsi="Cambria Math"/>
                        <w:sz w:val="16"/>
                        <w:szCs w:val="16"/>
                      </w:rPr>
                    </m:ctrlPr>
                  </m:sSubPr>
                  <m:e>
                    <m:r>
                      <m:rPr>
                        <m:sty m:val="p"/>
                      </m:rPr>
                      <w:rPr>
                        <w:rFonts w:ascii="Cambria Math"/>
                        <w:sz w:val="16"/>
                        <w:szCs w:val="16"/>
                      </w:rPr>
                      <m:t>Δ</m:t>
                    </m:r>
                    <m:ctrlPr>
                      <w:rPr>
                        <w:rFonts w:ascii="Cambria Math" w:hAnsi="Cambria Math"/>
                        <w:sz w:val="16"/>
                        <w:szCs w:val="16"/>
                      </w:rPr>
                    </m:ctrlPr>
                  </m:e>
                  <m:sub>
                    <m:r>
                      <m:rPr/>
                      <w:rPr>
                        <w:rFonts w:ascii="Cambria Math"/>
                        <w:sz w:val="16"/>
                        <w:szCs w:val="16"/>
                      </w:rPr>
                      <m:t>MBTI</m:t>
                    </m:r>
                    <m:ctrlPr>
                      <w:rPr>
                        <w:rFonts w:ascii="Cambria Math" w:hAnsi="Cambria Math"/>
                        <w:sz w:val="16"/>
                        <w:szCs w:val="16"/>
                      </w:rPr>
                    </m:ctrlPr>
                  </m:sub>
                </m:sSub>
                <m:r>
                  <m:rPr/>
                  <w:rPr>
                    <w:rFonts w:ascii="Cambria Math"/>
                    <w:sz w:val="16"/>
                    <w:szCs w:val="16"/>
                  </w:rPr>
                  <m:t>+</m:t>
                </m:r>
                <m:sSub>
                  <m:sSubPr>
                    <m:ctrlPr>
                      <w:rPr>
                        <w:rFonts w:ascii="Cambria Math" w:hAnsi="Cambria Math"/>
                        <w:sz w:val="16"/>
                        <w:szCs w:val="16"/>
                      </w:rPr>
                    </m:ctrlPr>
                  </m:sSubPr>
                  <m:e>
                    <m:r>
                      <m:rPr>
                        <m:sty m:val="p"/>
                      </m:rPr>
                      <w:rPr>
                        <w:rFonts w:ascii="Cambria Math"/>
                        <w:sz w:val="16"/>
                        <w:szCs w:val="16"/>
                      </w:rPr>
                      <m:t>Δ</m:t>
                    </m:r>
                    <m:ctrlPr>
                      <w:rPr>
                        <w:rFonts w:ascii="Cambria Math" w:hAnsi="Cambria Math"/>
                        <w:sz w:val="16"/>
                        <w:szCs w:val="16"/>
                      </w:rPr>
                    </m:ctrlPr>
                  </m:e>
                  <m:sub>
                    <m:r>
                      <m:rPr/>
                      <w:rPr>
                        <w:rFonts w:ascii="Cambria Math"/>
                        <w:sz w:val="16"/>
                        <w:szCs w:val="16"/>
                      </w:rPr>
                      <m:t>attr</m:t>
                    </m:r>
                    <m:ctrlPr>
                      <w:rPr>
                        <w:rFonts w:ascii="Cambria Math" w:hAnsi="Cambria Math"/>
                        <w:sz w:val="16"/>
                        <w:szCs w:val="16"/>
                      </w:rPr>
                    </m:ctrlPr>
                  </m:sub>
                </m:sSub>
              </m:oMath>
            </m:oMathPara>
          </w:p>
        </w:tc>
        <w:tc>
          <w:tcPr>
            <w:tcW w:w="725" w:type="dxa"/>
            <w:tcBorders>
              <w:top w:val="nil"/>
              <w:left w:val="nil"/>
              <w:bottom w:val="nil"/>
              <w:right w:val="nil"/>
            </w:tcBorders>
            <w:shd w:val="clear" w:color="auto" w:fill="FFFFFF"/>
            <w:vAlign w:val="center"/>
          </w:tcPr>
          <w:p w14:paraId="1B6C7DA2">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7</w:t>
            </w:r>
            <w:r>
              <w:rPr>
                <w:rFonts w:ascii="Times New Roman" w:hAnsi="Times New Roman" w:cs="Times New Roman"/>
                <w:color w:val="000000"/>
                <w:sz w:val="20"/>
                <w:szCs w:val="20"/>
              </w:rPr>
              <w:t>)</w:t>
            </w:r>
          </w:p>
        </w:tc>
      </w:tr>
    </w:tbl>
    <w:p w14:paraId="5CA4AAF0">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Where Δ</w:t>
      </w:r>
      <w:r>
        <w:rPr>
          <w:rFonts w:ascii="Times New Roman" w:hAnsi="Times New Roman" w:cs="Times New Roman"/>
          <w:sz w:val="20"/>
          <w:szCs w:val="20"/>
          <w:vertAlign w:val="subscript"/>
        </w:rPr>
        <w:t>MBTI</w:t>
      </w:r>
      <w:r>
        <w:rPr>
          <w:rFonts w:ascii="Times New Roman" w:hAnsi="Times New Roman" w:cs="Times New Roman"/>
          <w:sz w:val="20"/>
          <w:szCs w:val="20"/>
        </w:rPr>
        <w:t xml:space="preserve"> is the MBTI dimension adjustment (Extroverts +30 for social events, Introverts +20 for technical events, Judging types -15 when interrupted, Perceiving types +10 for spontaneous participation), and Δ</w:t>
      </w:r>
      <w:r>
        <w:rPr>
          <w:rFonts w:ascii="Times New Roman" w:hAnsi="Times New Roman" w:cs="Times New Roman"/>
          <w:sz w:val="20"/>
          <w:szCs w:val="20"/>
          <w:vertAlign w:val="subscript"/>
        </w:rPr>
        <w:t>attr</w:t>
      </w:r>
      <w:r>
        <w:rPr>
          <w:rFonts w:ascii="Times New Roman" w:hAnsi="Times New Roman" w:cs="Times New Roman"/>
          <w:sz w:val="20"/>
          <w:szCs w:val="20"/>
        </w:rPr>
        <w:t xml:space="preserve"> is the relevant attribute bonus (communication/10 for social events, technical skill/10 for technical events). The agent participates when I</w:t>
      </w:r>
      <w:r>
        <w:rPr>
          <w:rFonts w:ascii="Times New Roman" w:hAnsi="Times New Roman" w:cs="Times New Roman"/>
          <w:sz w:val="20"/>
          <w:szCs w:val="20"/>
          <w:vertAlign w:val="subscript"/>
        </w:rPr>
        <w:t>event</w:t>
      </w:r>
      <w:r>
        <w:rPr>
          <w:rFonts w:ascii="Times New Roman" w:hAnsi="Times New Roman" w:cs="Times New Roman"/>
          <w:sz w:val="20"/>
          <w:szCs w:val="20"/>
        </w:rPr>
        <w:t>≥50; when multiple events overlap, the highest-scoring event is selected.</w:t>
      </w:r>
    </w:p>
    <w:p w14:paraId="343EA9A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Layer 2: Schedule Dispatch—The system maintains a schedule (9:00 work→10:30 rest→...→18:00 off-duty). MBTI differences manifest in schedule time variance: Judging types ±5 minutes, Perceiving types ±30 minutes.</w:t>
      </w:r>
    </w:p>
    <w:p w14:paraId="62FF5E2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Layer 3: Optional LLM-Assisted Reasoning—Inputs include MBTI type, recent 5 memories, pending task count, and recent 5 action logs; LLM returns decisions in JSON format (action type, target, and rationale). A 5-minute cache is employed.</w:t>
      </w:r>
    </w:p>
    <w:p w14:paraId="79CC1359">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Layer 4: Deterministic Weighted Fallback—When LLM is unavailable, action is selected based on MBTI weight vector plus memory correction (high-importance task memories +5 to rest weight; social memories +5 to chat weight; high-importance career memories +10 to work weight) through weighted random sampling.</w:t>
      </w:r>
    </w:p>
    <w:p w14:paraId="250F2FF9">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2.7</w:t>
      </w:r>
      <w:r>
        <w:rPr>
          <w:rFonts w:ascii="Times New Roman" w:hAnsi="Times New Roman" w:cs="Times New Roman"/>
          <w:b/>
          <w:sz w:val="20"/>
          <w:szCs w:val="20"/>
        </w:rPr>
        <w:t xml:space="preserve"> Memory, </w:t>
      </w:r>
      <w:r>
        <w:rPr>
          <w:rFonts w:hint="eastAsia" w:ascii="Times New Roman" w:hAnsi="Times New Roman" w:cs="Times New Roman"/>
          <w:b/>
          <w:sz w:val="20"/>
          <w:szCs w:val="20"/>
          <w:lang w:val="en-US" w:eastAsia="zh-CN"/>
        </w:rPr>
        <w:t>a</w:t>
      </w:r>
      <w:r>
        <w:rPr>
          <w:rFonts w:ascii="Times New Roman" w:hAnsi="Times New Roman" w:cs="Times New Roman"/>
          <w:b/>
          <w:sz w:val="20"/>
          <w:szCs w:val="20"/>
        </w:rPr>
        <w:t xml:space="preserve">ffinity, and </w:t>
      </w:r>
      <w:r>
        <w:rPr>
          <w:rFonts w:hint="eastAsia" w:ascii="Times New Roman" w:hAnsi="Times New Roman" w:cs="Times New Roman"/>
          <w:b/>
          <w:sz w:val="20"/>
          <w:szCs w:val="20"/>
          <w:lang w:val="en-US" w:eastAsia="zh-CN"/>
        </w:rPr>
        <w:t>d</w:t>
      </w:r>
      <w:r>
        <w:rPr>
          <w:rFonts w:ascii="Times New Roman" w:hAnsi="Times New Roman" w:cs="Times New Roman"/>
          <w:b/>
          <w:sz w:val="20"/>
          <w:szCs w:val="20"/>
        </w:rPr>
        <w:t xml:space="preserve">ynamic </w:t>
      </w:r>
      <w:r>
        <w:rPr>
          <w:rFonts w:hint="eastAsia" w:ascii="Times New Roman" w:hAnsi="Times New Roman" w:cs="Times New Roman"/>
          <w:b/>
          <w:sz w:val="20"/>
          <w:szCs w:val="20"/>
          <w:lang w:val="en-US" w:eastAsia="zh-CN"/>
        </w:rPr>
        <w:t>e</w:t>
      </w:r>
      <w:r>
        <w:rPr>
          <w:rFonts w:ascii="Times New Roman" w:hAnsi="Times New Roman" w:cs="Times New Roman"/>
          <w:b/>
          <w:sz w:val="20"/>
          <w:szCs w:val="20"/>
        </w:rPr>
        <w:t>vents</w:t>
      </w:r>
    </w:p>
    <w:p w14:paraId="52B03A00">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software maintains social continuity through memory retrieval and affinity updates. Events are stratified into 7 importance levels and stored as memories: promotion (10), task completion (7), salary change (6), task failure (5), friendship establishment (4), casual chat (3), spatial movement (1). This stratification is based on the emotional enhancement effect of memory—high emotional arousal events leave stronger memory traces. Memory recall employs a “descending importance + descending recency” strategy, returning top-5 memories by default, which influence subsequent action weights (high-importance task memories +5 to rest weight; social memories +5 to chat weight; high-importance career memories +10 to work weight).</w:t>
      </w:r>
    </w:p>
    <w:p w14:paraId="4DADE3F9">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Intimacy (0</w:t>
      </w:r>
      <w:r>
        <w:rPr>
          <w:rFonts w:ascii="Times New Roman" w:hAnsi="Times New Roman" w:eastAsia="宋体" w:cs="Times New Roman"/>
          <w:sz w:val="20"/>
          <w:szCs w:val="20"/>
        </w:rPr>
        <w:t>～</w:t>
      </w:r>
      <w:r>
        <w:rPr>
          <w:rFonts w:ascii="Times New Roman" w:hAnsi="Times New Roman" w:cs="Times New Roman"/>
          <w:sz w:val="20"/>
          <w:szCs w:val="20"/>
        </w:rPr>
        <w:t>100) employs a segmented linear decay function with forgetting threshold: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56BA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7797" w:type="dxa"/>
            <w:tcBorders>
              <w:top w:val="nil"/>
              <w:left w:val="nil"/>
              <w:bottom w:val="nil"/>
              <w:right w:val="nil"/>
              <w:tl2br w:val="nil"/>
            </w:tcBorders>
            <w:shd w:val="clear" w:color="auto" w:fill="FFFFFF"/>
            <w:vAlign w:val="center"/>
          </w:tcPr>
          <w:p w14:paraId="230F965C">
            <w:pPr>
              <w:rPr>
                <w:rFonts w:hint="eastAsia"/>
              </w:rPr>
            </w:pPr>
            <m:oMathPara>
              <m:oMathParaPr>
                <m:jc m:val="left"/>
              </m:oMathParaPr>
              <m:oMath>
                <m:r>
                  <m:rPr/>
                  <w:rPr>
                    <w:rFonts w:ascii="Cambria Math"/>
                    <w:sz w:val="16"/>
                    <w:szCs w:val="16"/>
                  </w:rPr>
                  <m:t>A(d)=</m:t>
                </m:r>
                <m:func>
                  <m:funcPr>
                    <m:ctrlPr>
                      <w:rPr>
                        <w:rFonts w:ascii="Cambria Math" w:hAnsi="Cambria Math"/>
                        <w:sz w:val="16"/>
                        <w:szCs w:val="16"/>
                      </w:rPr>
                    </m:ctrlPr>
                  </m:funcPr>
                  <m:fName>
                    <m:r>
                      <m:rPr>
                        <m:sty m:val="p"/>
                      </m:rPr>
                      <w:rPr>
                        <w:rFonts w:ascii="Cambria Math"/>
                        <w:sz w:val="16"/>
                        <w:szCs w:val="16"/>
                      </w:rPr>
                      <m:t>max</m:t>
                    </m:r>
                    <m:ctrlPr>
                      <w:rPr>
                        <w:rFonts w:ascii="Cambria Math" w:hAnsi="Cambria Math"/>
                        <w:sz w:val="16"/>
                        <w:szCs w:val="16"/>
                      </w:rPr>
                    </m:ctrlPr>
                  </m:fName>
                  <m:e>
                    <m:d>
                      <m:dPr>
                        <m:ctrlPr>
                          <w:rPr>
                            <w:rFonts w:ascii="Cambria Math" w:hAnsi="Cambria Math"/>
                            <w:i/>
                            <w:sz w:val="16"/>
                            <w:szCs w:val="16"/>
                          </w:rPr>
                        </m:ctrlPr>
                      </m:dPr>
                      <m:e>
                        <m:r>
                          <m:rPr/>
                          <w:rPr>
                            <w:rFonts w:ascii="Cambria Math"/>
                            <w:sz w:val="16"/>
                            <w:szCs w:val="16"/>
                          </w:rPr>
                          <m:t>0,</m:t>
                        </m:r>
                        <m:r>
                          <m:rPr>
                            <m:sty m:val="p"/>
                          </m:rPr>
                          <w:rPr>
                            <w:rFonts w:ascii="Cambria Math"/>
                            <w:sz w:val="16"/>
                            <w:szCs w:val="16"/>
                          </w:rPr>
                          <m:t xml:space="preserve"> </m:t>
                        </m:r>
                        <m:sSub>
                          <m:sSubPr>
                            <m:ctrlPr>
                              <w:rPr>
                                <w:rFonts w:ascii="Cambria Math" w:hAnsi="Cambria Math"/>
                                <w:sz w:val="16"/>
                                <w:szCs w:val="16"/>
                              </w:rPr>
                            </m:ctrlPr>
                          </m:sSubPr>
                          <m:e>
                            <m:r>
                              <m:rPr/>
                              <w:rPr>
                                <w:rFonts w:ascii="Cambria Math"/>
                                <w:sz w:val="16"/>
                                <w:szCs w:val="16"/>
                              </w:rPr>
                              <m:t>A</m:t>
                            </m:r>
                            <m:ctrlPr>
                              <w:rPr>
                                <w:rFonts w:ascii="Cambria Math" w:hAnsi="Cambria Math"/>
                                <w:sz w:val="16"/>
                                <w:szCs w:val="16"/>
                              </w:rPr>
                            </m:ctrlPr>
                          </m:e>
                          <m:sub>
                            <m:r>
                              <m:rPr/>
                              <w:rPr>
                                <w:rFonts w:ascii="Cambria Math"/>
                                <w:sz w:val="16"/>
                                <w:szCs w:val="16"/>
                              </w:rPr>
                              <m:t>0</m:t>
                            </m:r>
                            <m:ctrlPr>
                              <w:rPr>
                                <w:rFonts w:ascii="Cambria Math" w:hAnsi="Cambria Math"/>
                                <w:sz w:val="16"/>
                                <w:szCs w:val="16"/>
                              </w:rPr>
                            </m:ctrlPr>
                          </m:sub>
                        </m:sSub>
                        <m:r>
                          <m:rPr/>
                          <w:rPr>
                            <w:rFonts w:ascii="Cambria Math"/>
                            <w:sz w:val="16"/>
                            <w:szCs w:val="16"/>
                          </w:rPr>
                          <m:t>−β⋅</m:t>
                        </m:r>
                        <m:func>
                          <m:funcPr>
                            <m:ctrlPr>
                              <w:rPr>
                                <w:rFonts w:ascii="Cambria Math" w:hAnsi="Cambria Math"/>
                                <w:sz w:val="16"/>
                                <w:szCs w:val="16"/>
                              </w:rPr>
                            </m:ctrlPr>
                          </m:funcPr>
                          <m:fName>
                            <m:r>
                              <m:rPr>
                                <m:sty m:val="p"/>
                              </m:rPr>
                              <w:rPr>
                                <w:rFonts w:ascii="Cambria Math"/>
                                <w:sz w:val="16"/>
                                <w:szCs w:val="16"/>
                              </w:rPr>
                              <m:t>max</m:t>
                            </m:r>
                            <m:ctrlPr>
                              <w:rPr>
                                <w:rFonts w:ascii="Cambria Math" w:hAnsi="Cambria Math"/>
                                <w:sz w:val="16"/>
                                <w:szCs w:val="16"/>
                              </w:rPr>
                            </m:ctrlPr>
                          </m:fName>
                          <m:e>
                            <m:r>
                              <m:rPr/>
                              <w:rPr>
                                <w:rFonts w:ascii="Cambria Math"/>
                                <w:sz w:val="16"/>
                                <w:szCs w:val="16"/>
                              </w:rPr>
                              <m:t>(</m:t>
                            </m:r>
                            <m:ctrlPr>
                              <w:rPr>
                                <w:rFonts w:ascii="Cambria Math" w:hAnsi="Cambria Math"/>
                                <w:sz w:val="16"/>
                                <w:szCs w:val="16"/>
                              </w:rPr>
                            </m:ctrlPr>
                          </m:e>
                        </m:func>
                        <m:r>
                          <m:rPr/>
                          <w:rPr>
                            <w:rFonts w:ascii="Cambria Math"/>
                            <w:sz w:val="16"/>
                            <w:szCs w:val="16"/>
                          </w:rPr>
                          <m:t>0,</m:t>
                        </m:r>
                        <m:r>
                          <m:rPr>
                            <m:sty m:val="p"/>
                          </m:rPr>
                          <w:rPr>
                            <w:rFonts w:ascii="Cambria Math"/>
                            <w:sz w:val="16"/>
                            <w:szCs w:val="16"/>
                          </w:rPr>
                          <m:t xml:space="preserve"> </m:t>
                        </m:r>
                        <m:r>
                          <m:rPr/>
                          <w:rPr>
                            <w:rFonts w:ascii="Cambria Math"/>
                            <w:sz w:val="16"/>
                            <w:szCs w:val="16"/>
                          </w:rPr>
                          <m:t>d−T)</m:t>
                        </m:r>
                        <m:ctrlPr>
                          <w:rPr>
                            <w:rFonts w:ascii="Cambria Math" w:hAnsi="Cambria Math"/>
                            <w:sz w:val="16"/>
                            <w:szCs w:val="16"/>
                          </w:rPr>
                        </m:ctrlPr>
                      </m:e>
                    </m:d>
                    <m:ctrlPr>
                      <w:rPr>
                        <w:rFonts w:ascii="Cambria Math" w:hAnsi="Cambria Math"/>
                        <w:i/>
                        <w:sz w:val="16"/>
                        <w:szCs w:val="16"/>
                      </w:rPr>
                    </m:ctrlPr>
                  </m:e>
                </m:func>
              </m:oMath>
            </m:oMathPara>
          </w:p>
        </w:tc>
        <w:tc>
          <w:tcPr>
            <w:tcW w:w="725" w:type="dxa"/>
            <w:tcBorders>
              <w:top w:val="nil"/>
              <w:left w:val="nil"/>
              <w:bottom w:val="nil"/>
              <w:right w:val="nil"/>
            </w:tcBorders>
            <w:shd w:val="clear" w:color="auto" w:fill="FFFFFF"/>
            <w:vAlign w:val="center"/>
          </w:tcPr>
          <w:p w14:paraId="2808052A">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8</w:t>
            </w:r>
            <w:r>
              <w:rPr>
                <w:rFonts w:ascii="Times New Roman" w:hAnsi="Times New Roman" w:cs="Times New Roman"/>
                <w:color w:val="000000"/>
                <w:sz w:val="20"/>
                <w:szCs w:val="20"/>
              </w:rPr>
              <w:t>)</w:t>
            </w:r>
          </w:p>
        </w:tc>
      </w:tr>
    </w:tbl>
    <w:p w14:paraId="5B9D047B">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equivalent recursive form is: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7"/>
        <w:gridCol w:w="725"/>
      </w:tblGrid>
      <w:tr w14:paraId="760D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7797" w:type="dxa"/>
            <w:tcBorders>
              <w:top w:val="nil"/>
              <w:left w:val="nil"/>
              <w:bottom w:val="nil"/>
              <w:right w:val="nil"/>
              <w:tl2br w:val="nil"/>
            </w:tcBorders>
            <w:shd w:val="clear" w:color="auto" w:fill="FFFFFF"/>
            <w:vAlign w:val="center"/>
          </w:tcPr>
          <w:p w14:paraId="31C1BDDF">
            <w:pPr>
              <w:rPr>
                <w:rFonts w:hint="eastAsia"/>
              </w:rPr>
            </w:pPr>
            <m:oMathPara>
              <m:oMathParaPr>
                <m:jc m:val="left"/>
              </m:oMathParaPr>
              <m:oMath>
                <m:r>
                  <m:rPr/>
                  <w:rPr>
                    <w:rFonts w:ascii="Cambria Math"/>
                    <w:sz w:val="16"/>
                    <w:szCs w:val="16"/>
                  </w:rPr>
                  <m:t>A(t+1)=</m:t>
                </m:r>
                <m:d>
                  <m:dPr>
                    <m:begChr m:val="{"/>
                    <m:endChr m:val=""/>
                    <m:ctrlPr>
                      <w:rPr>
                        <w:rFonts w:ascii="Cambria Math" w:hAnsi="Cambria Math"/>
                        <w:i/>
                        <w:sz w:val="16"/>
                        <w:szCs w:val="16"/>
                      </w:rPr>
                    </m:ctrlPr>
                  </m:dPr>
                  <m:e>
                    <m:m>
                      <m:mPr>
                        <m:mcs>
                          <m:mc>
                            <m:mcPr>
                              <m:count m:val="2"/>
                              <m:mcJc m:val="left"/>
                            </m:mcPr>
                          </m:mc>
                        </m:mcs>
                        <m:plcHide m:val="1"/>
                        <m:ctrlPr>
                          <w:rPr>
                            <w:rFonts w:ascii="Cambria Math" w:hAnsi="Cambria Math"/>
                            <w:i/>
                            <w:sz w:val="16"/>
                            <w:szCs w:val="16"/>
                          </w:rPr>
                        </m:ctrlPr>
                      </m:mPr>
                      <m:mr>
                        <m:e>
                          <m:r>
                            <m:rPr/>
                            <w:rPr>
                              <w:rFonts w:ascii="Cambria Math"/>
                              <w:sz w:val="16"/>
                              <w:szCs w:val="16"/>
                            </w:rPr>
                            <m:t>A(t),</m:t>
                          </m:r>
                          <m:ctrlPr>
                            <w:rPr>
                              <w:rFonts w:ascii="Cambria Math" w:hAnsi="Cambria Math"/>
                              <w:sz w:val="16"/>
                              <w:szCs w:val="16"/>
                            </w:rPr>
                          </m:ctrlPr>
                        </m:e>
                        <m:e>
                          <m:sSub>
                            <m:sSubPr>
                              <m:ctrlPr>
                                <w:rPr>
                                  <w:rFonts w:ascii="Cambria Math" w:hAnsi="Cambria Math"/>
                                  <w:sz w:val="16"/>
                                  <w:szCs w:val="16"/>
                                </w:rPr>
                              </m:ctrlPr>
                            </m:sSubPr>
                            <m:e>
                              <m:r>
                                <m:rPr/>
                                <w:rPr>
                                  <w:rFonts w:ascii="Cambria Math"/>
                                  <w:sz w:val="16"/>
                                  <w:szCs w:val="16"/>
                                </w:rPr>
                                <m:t>d</m:t>
                              </m:r>
                              <m:ctrlPr>
                                <w:rPr>
                                  <w:rFonts w:ascii="Cambria Math" w:hAnsi="Cambria Math"/>
                                  <w:sz w:val="16"/>
                                  <w:szCs w:val="16"/>
                                </w:rPr>
                              </m:ctrlPr>
                            </m:e>
                            <m:sub>
                              <m:r>
                                <m:rPr/>
                                <w:rPr>
                                  <w:rFonts w:ascii="Cambria Math"/>
                                  <w:sz w:val="16"/>
                                  <w:szCs w:val="16"/>
                                </w:rPr>
                                <m:t>inactive</m:t>
                              </m:r>
                              <m:ctrlPr>
                                <w:rPr>
                                  <w:rFonts w:ascii="Cambria Math" w:hAnsi="Cambria Math"/>
                                  <w:sz w:val="16"/>
                                  <w:szCs w:val="16"/>
                                </w:rPr>
                              </m:ctrlPr>
                            </m:sub>
                          </m:sSub>
                          <m:r>
                            <m:rPr/>
                            <w:rPr>
                              <w:rFonts w:ascii="Cambria Math"/>
                              <w:sz w:val="16"/>
                              <w:szCs w:val="16"/>
                            </w:rPr>
                            <m:t>≤T</m:t>
                          </m:r>
                          <m:ctrlPr>
                            <w:rPr>
                              <w:rFonts w:ascii="Cambria Math" w:hAnsi="Cambria Math"/>
                              <w:sz w:val="16"/>
                              <w:szCs w:val="16"/>
                            </w:rPr>
                          </m:ctrlPr>
                        </m:e>
                      </m:mr>
                      <m:mr>
                        <m:e>
                          <m:func>
                            <m:funcPr>
                              <m:ctrlPr>
                                <w:rPr>
                                  <w:rFonts w:ascii="Cambria Math" w:hAnsi="Cambria Math"/>
                                  <w:sz w:val="16"/>
                                  <w:szCs w:val="16"/>
                                </w:rPr>
                              </m:ctrlPr>
                            </m:funcPr>
                            <m:fName>
                              <m:r>
                                <m:rPr>
                                  <m:sty m:val="p"/>
                                </m:rPr>
                                <w:rPr>
                                  <w:rFonts w:ascii="Cambria Math"/>
                                  <w:sz w:val="16"/>
                                  <w:szCs w:val="16"/>
                                </w:rPr>
                                <m:t>max</m:t>
                              </m:r>
                              <m:ctrlPr>
                                <w:rPr>
                                  <w:rFonts w:ascii="Cambria Math" w:hAnsi="Cambria Math"/>
                                  <w:sz w:val="16"/>
                                  <w:szCs w:val="16"/>
                                </w:rPr>
                              </m:ctrlPr>
                            </m:fName>
                            <m:e>
                              <m:r>
                                <m:rPr/>
                                <w:rPr>
                                  <w:rFonts w:ascii="Cambria Math"/>
                                  <w:sz w:val="16"/>
                                  <w:szCs w:val="16"/>
                                </w:rPr>
                                <m:t>(</m:t>
                              </m:r>
                              <m:ctrlPr>
                                <w:rPr>
                                  <w:rFonts w:ascii="Cambria Math" w:hAnsi="Cambria Math"/>
                                  <w:sz w:val="16"/>
                                  <w:szCs w:val="16"/>
                                </w:rPr>
                              </m:ctrlPr>
                            </m:e>
                          </m:func>
                          <m:r>
                            <m:rPr/>
                            <w:rPr>
                              <w:rFonts w:ascii="Cambria Math"/>
                              <w:sz w:val="16"/>
                              <w:szCs w:val="16"/>
                            </w:rPr>
                            <m:t>0,</m:t>
                          </m:r>
                          <m:r>
                            <m:rPr>
                              <m:sty m:val="p"/>
                            </m:rPr>
                            <w:rPr>
                              <w:rFonts w:ascii="Cambria Math"/>
                              <w:sz w:val="16"/>
                              <w:szCs w:val="16"/>
                            </w:rPr>
                            <m:t xml:space="preserve"> </m:t>
                          </m:r>
                          <m:r>
                            <m:rPr/>
                            <w:rPr>
                              <w:rFonts w:ascii="Cambria Math"/>
                              <w:sz w:val="16"/>
                              <w:szCs w:val="16"/>
                            </w:rPr>
                            <m:t>A(t)−β),</m:t>
                          </m:r>
                          <m:ctrlPr>
                            <w:rPr>
                              <w:rFonts w:ascii="Cambria Math" w:hAnsi="Cambria Math"/>
                              <w:sz w:val="16"/>
                              <w:szCs w:val="16"/>
                            </w:rPr>
                          </m:ctrlPr>
                        </m:e>
                        <m:e>
                          <m:sSub>
                            <m:sSubPr>
                              <m:ctrlPr>
                                <w:rPr>
                                  <w:rFonts w:ascii="Cambria Math" w:hAnsi="Cambria Math"/>
                                  <w:sz w:val="16"/>
                                  <w:szCs w:val="16"/>
                                </w:rPr>
                              </m:ctrlPr>
                            </m:sSubPr>
                            <m:e>
                              <m:r>
                                <m:rPr/>
                                <w:rPr>
                                  <w:rFonts w:ascii="Cambria Math"/>
                                  <w:sz w:val="16"/>
                                  <w:szCs w:val="16"/>
                                </w:rPr>
                                <m:t>d</m:t>
                              </m:r>
                              <m:ctrlPr>
                                <w:rPr>
                                  <w:rFonts w:ascii="Cambria Math" w:hAnsi="Cambria Math"/>
                                  <w:sz w:val="16"/>
                                  <w:szCs w:val="16"/>
                                </w:rPr>
                              </m:ctrlPr>
                            </m:e>
                            <m:sub>
                              <m:r>
                                <m:rPr/>
                                <w:rPr>
                                  <w:rFonts w:ascii="Cambria Math"/>
                                  <w:sz w:val="16"/>
                                  <w:szCs w:val="16"/>
                                </w:rPr>
                                <m:t>inactive</m:t>
                              </m:r>
                              <m:ctrlPr>
                                <w:rPr>
                                  <w:rFonts w:ascii="Cambria Math" w:hAnsi="Cambria Math"/>
                                  <w:sz w:val="16"/>
                                  <w:szCs w:val="16"/>
                                </w:rPr>
                              </m:ctrlPr>
                            </m:sub>
                          </m:sSub>
                          <m:r>
                            <m:rPr/>
                            <w:rPr>
                              <w:rFonts w:ascii="Cambria Math"/>
                              <w:sz w:val="16"/>
                              <w:szCs w:val="16"/>
                            </w:rPr>
                            <m:t>&gt;T</m:t>
                          </m:r>
                          <m:ctrlPr>
                            <w:rPr>
                              <w:rFonts w:ascii="Cambria Math" w:hAnsi="Cambria Math"/>
                              <w:sz w:val="16"/>
                              <w:szCs w:val="16"/>
                            </w:rPr>
                          </m:ctrlPr>
                        </m:e>
                      </m:mr>
                    </m:m>
                    <m:ctrlPr>
                      <w:rPr>
                        <w:rFonts w:ascii="Cambria Math" w:hAnsi="Cambria Math"/>
                        <w:i/>
                        <w:sz w:val="16"/>
                        <w:szCs w:val="16"/>
                      </w:rPr>
                    </m:ctrlPr>
                  </m:e>
                </m:d>
              </m:oMath>
            </m:oMathPara>
          </w:p>
        </w:tc>
        <w:tc>
          <w:tcPr>
            <w:tcW w:w="725" w:type="dxa"/>
            <w:tcBorders>
              <w:top w:val="nil"/>
              <w:left w:val="nil"/>
              <w:bottom w:val="nil"/>
              <w:right w:val="nil"/>
            </w:tcBorders>
            <w:shd w:val="clear" w:color="auto" w:fill="FFFFFF"/>
            <w:vAlign w:val="center"/>
          </w:tcPr>
          <w:p w14:paraId="709DF005">
            <w:pPr>
              <w:adjustRightInd w:val="0"/>
              <w:snapToGrid w:val="0"/>
              <w:spacing w:line="228" w:lineRule="auto"/>
              <w:jc w:val="center"/>
              <w:rPr>
                <w:rFonts w:ascii="Times New Roman" w:hAnsi="Times New Roman" w:cs="Times New Roman"/>
                <w:color w:val="000000"/>
                <w:sz w:val="16"/>
                <w:szCs w:val="16"/>
              </w:rPr>
            </w:pPr>
            <w:r>
              <w:rPr>
                <w:rFonts w:ascii="Times New Roman" w:hAnsi="Times New Roman" w:cs="Times New Roman"/>
                <w:color w:val="000000"/>
                <w:sz w:val="20"/>
                <w:szCs w:val="20"/>
              </w:rPr>
              <w:t>(</w:t>
            </w:r>
            <w:r>
              <w:rPr>
                <w:rFonts w:hint="eastAsia" w:ascii="Times New Roman" w:hAnsi="Times New Roman" w:cs="Times New Roman"/>
                <w:color w:val="000000"/>
                <w:sz w:val="20"/>
                <w:szCs w:val="20"/>
              </w:rPr>
              <w:t>9</w:t>
            </w:r>
            <w:r>
              <w:rPr>
                <w:rFonts w:ascii="Times New Roman" w:hAnsi="Times New Roman" w:cs="Times New Roman"/>
                <w:color w:val="000000"/>
                <w:sz w:val="20"/>
                <w:szCs w:val="20"/>
              </w:rPr>
              <w:t>)</w:t>
            </w:r>
          </w:p>
        </w:tc>
      </w:tr>
    </w:tbl>
    <w:p w14:paraId="100E3DF2">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where T=3 (days),</w:t>
      </w:r>
      <w:r>
        <w:rPr>
          <w:rFonts w:hint="eastAsia" w:ascii="Times New Roman" w:hAnsi="Times New Roman" w:cs="Times New Roman"/>
          <w:sz w:val="20"/>
          <w:szCs w:val="20"/>
        </w:rPr>
        <w:t xml:space="preserve"> </w:t>
      </w:r>
      <w:r>
        <w:rPr>
          <w:rFonts w:ascii="Times New Roman" w:hAnsi="Times New Roman" w:cs="Times New Roman"/>
          <w:sz w:val="20"/>
          <w:szCs w:val="20"/>
        </w:rPr>
        <w:t>β=2 (/day). T=3 is based on normal workplace contact intervals;</w:t>
      </w:r>
      <w:r>
        <w:rPr>
          <w:rFonts w:hint="eastAsia" w:ascii="Times New Roman" w:hAnsi="Times New Roman" w:cs="Times New Roman"/>
          <w:sz w:val="20"/>
          <w:szCs w:val="20"/>
        </w:rPr>
        <w:t xml:space="preserve"> </w:t>
      </w:r>
      <w:r>
        <w:rPr>
          <w:rFonts w:ascii="Times New Roman" w:hAnsi="Times New Roman" w:cs="Times New Roman"/>
          <w:sz w:val="20"/>
          <w:szCs w:val="20"/>
        </w:rPr>
        <w:t>β=2 causes 100-point intimacy (“close friend” relationships) to decay to 0 in approximately 50 days, and 50-point intimacy (“ordinary” relationships) to disappear in approximately 25 days, conforming to the social network principle that “weak ties decay faster than strong ties”. Relationships are strengthened through interaction and modulated by the MBTI social multiplier η</w:t>
      </w:r>
      <w:r>
        <w:rPr>
          <w:rFonts w:ascii="Times New Roman" w:hAnsi="Times New Roman" w:cs="Times New Roman"/>
          <w:sz w:val="20"/>
          <w:szCs w:val="20"/>
          <w:vertAlign w:val="subscript"/>
        </w:rPr>
        <w:t>social</w:t>
      </w:r>
      <w:r>
        <w:rPr>
          <w:rFonts w:ascii="Times New Roman" w:hAnsi="Times New Roman" w:cs="Times New Roman"/>
          <w:sz w:val="20"/>
          <w:szCs w:val="20"/>
        </w:rPr>
        <w:t xml:space="preserve"> . Different interaction types provide differentiated intimacy increments: casual chat +2 (E×1.3, F×1.2), task collaboration +5, shared event participation +3, departmental task +3, mentorship +4. Intimacy values map to 5-level relationship labels: detached (030), ordinary (3150), friendly (5170), intimate (7185), and close friend (86~100), with different levels affecting NPC dialogue style.</w:t>
      </w:r>
    </w:p>
    <w:p w14:paraId="0D6B26B0">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Task difficulty scales according to agent context</w:t>
      </w:r>
      <w:r>
        <w:rPr>
          <w:rFonts w:ascii="Times New Roman" w:hAnsi="Times New Roman" w:cs="Times New Roman"/>
          <w:sz w:val="20"/>
          <w:szCs w:val="20"/>
          <w:vertAlign w:val="superscript"/>
        </w:rPr>
        <w:t xml:space="preserve"> [14-15]</w:t>
      </w:r>
      <w:r>
        <w:rPr>
          <w:rFonts w:ascii="Times New Roman" w:hAnsi="Times New Roman" w:cs="Times New Roman"/>
          <w:sz w:val="20"/>
          <w:szCs w:val="20"/>
        </w:rPr>
        <w:t xml:space="preserve"> (level scaling + performance adaptation); company events are dynamically created based on runtime conditions </w:t>
      </w:r>
      <w:r>
        <w:rPr>
          <w:rFonts w:ascii="Times New Roman" w:hAnsi="Times New Roman" w:cs="Times New Roman"/>
          <w:sz w:val="20"/>
          <w:szCs w:val="20"/>
          <w:vertAlign w:val="superscript"/>
        </w:rPr>
        <w:t xml:space="preserve">[16] </w:t>
      </w:r>
      <w:r>
        <w:rPr>
          <w:rFonts w:ascii="Times New Roman" w:hAnsi="Times New Roman" w:cs="Times New Roman"/>
          <w:sz w:val="20"/>
          <w:szCs w:val="20"/>
        </w:rPr>
        <w:t>(XP milestones, departmental performance, emergency mobilization, etc.). Event-driven participation can map to different behaviors (such as chat, meeting, or work), rather than treating all events as a single action.</w:t>
      </w:r>
    </w:p>
    <w:p w14:paraId="62B7E323">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2.8</w:t>
      </w:r>
      <w:r>
        <w:rPr>
          <w:rFonts w:ascii="Times New Roman" w:hAnsi="Times New Roman" w:cs="Times New Roman"/>
          <w:b/>
          <w:sz w:val="20"/>
          <w:szCs w:val="20"/>
        </w:rPr>
        <w:t xml:space="preserve"> Diagnostics and </w:t>
      </w:r>
      <w:r>
        <w:rPr>
          <w:rFonts w:hint="eastAsia" w:ascii="Times New Roman" w:hAnsi="Times New Roman" w:cs="Times New Roman"/>
          <w:b/>
          <w:sz w:val="20"/>
          <w:szCs w:val="20"/>
          <w:lang w:val="en-US" w:eastAsia="zh-CN"/>
        </w:rPr>
        <w:t>e</w:t>
      </w:r>
      <w:r>
        <w:rPr>
          <w:rFonts w:ascii="Times New Roman" w:hAnsi="Times New Roman" w:cs="Times New Roman"/>
          <w:b/>
          <w:sz w:val="20"/>
          <w:szCs w:val="20"/>
        </w:rPr>
        <w:t>xplainability</w:t>
      </w:r>
    </w:p>
    <w:p w14:paraId="43918E35">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software provides the following endpoints:</w:t>
      </w:r>
    </w:p>
    <w:p w14:paraId="42094E96">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"GET /api/agent/personality-trace" —— Returns MBTI effective multipliers, action probability distributions, recent 50 decision logs</w:t>
      </w:r>
    </w:p>
    <w:p w14:paraId="7A18A755">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"POST /api/simulation/rebuild-npcs" —— Rebuilds NPC states</w:t>
      </w:r>
    </w:p>
    <w:p w14:paraId="1ED855BA">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"GET /api/simulation/diagnostics" —— Runtime fingerprints, floor distributions, hotspot ratios</w:t>
      </w:r>
    </w:p>
    <w:p w14:paraId="6C5D7F22">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These endpoints are not merely operational tools, but integral to the software's verification interface. Table 4 provides key API endpoints relevant to validation.</w:t>
      </w:r>
    </w:p>
    <w:p w14:paraId="6E9967F3">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 xml:space="preserve">Table 4  </w:t>
      </w:r>
    </w:p>
    <w:p w14:paraId="59E32EE4">
      <w:pPr>
        <w:adjustRightInd w:val="0"/>
        <w:snapToGrid w:val="0"/>
        <w:spacing w:line="228" w:lineRule="auto"/>
        <w:jc w:val="left"/>
        <w:rPr>
          <w:rFonts w:ascii="Times New Roman" w:hAnsi="Times New Roman" w:cs="Times New Roman"/>
          <w:b w:val="0"/>
          <w:bCs/>
          <w:sz w:val="16"/>
          <w:szCs w:val="16"/>
        </w:rPr>
      </w:pPr>
      <w:r>
        <w:rPr>
          <w:rFonts w:ascii="Times New Roman" w:hAnsi="Times New Roman" w:cs="Times New Roman"/>
          <w:b w:val="0"/>
          <w:bCs/>
          <w:sz w:val="16"/>
          <w:szCs w:val="16"/>
        </w:rPr>
        <w:t xml:space="preserve">Key </w:t>
      </w:r>
      <w:r>
        <w:rPr>
          <w:rFonts w:hint="eastAsia" w:ascii="Times New Roman" w:hAnsi="Times New Roman" w:cs="Times New Roman"/>
          <w:b w:val="0"/>
          <w:bCs/>
          <w:sz w:val="16"/>
          <w:szCs w:val="16"/>
          <w:lang w:val="en-US" w:eastAsia="zh-CN"/>
        </w:rPr>
        <w:t>p</w:t>
      </w:r>
      <w:r>
        <w:rPr>
          <w:rFonts w:ascii="Times New Roman" w:hAnsi="Times New Roman" w:cs="Times New Roman"/>
          <w:b w:val="0"/>
          <w:bCs/>
          <w:sz w:val="16"/>
          <w:szCs w:val="16"/>
        </w:rPr>
        <w:t xml:space="preserve">ublic </w:t>
      </w:r>
      <w:r>
        <w:rPr>
          <w:rFonts w:hint="eastAsia" w:ascii="Times New Roman" w:hAnsi="Times New Roman" w:cs="Times New Roman"/>
          <w:b w:val="0"/>
          <w:bCs/>
          <w:sz w:val="16"/>
          <w:szCs w:val="16"/>
          <w:lang w:val="en-US" w:eastAsia="zh-CN"/>
        </w:rPr>
        <w:t>A</w:t>
      </w:r>
      <w:r>
        <w:rPr>
          <w:rFonts w:ascii="Times New Roman" w:hAnsi="Times New Roman" w:cs="Times New Roman"/>
          <w:b w:val="0"/>
          <w:bCs/>
          <w:sz w:val="16"/>
          <w:szCs w:val="16"/>
        </w:rPr>
        <w:t xml:space="preserve">PIs for </w:t>
      </w:r>
      <w:r>
        <w:rPr>
          <w:rFonts w:hint="eastAsia" w:ascii="Times New Roman" w:hAnsi="Times New Roman" w:cs="Times New Roman"/>
          <w:b w:val="0"/>
          <w:bCs/>
          <w:sz w:val="16"/>
          <w:szCs w:val="16"/>
          <w:lang w:val="en-US" w:eastAsia="zh-CN"/>
        </w:rPr>
        <w:t>v</w:t>
      </w:r>
      <w:r>
        <w:rPr>
          <w:rFonts w:ascii="Times New Roman" w:hAnsi="Times New Roman" w:cs="Times New Roman"/>
          <w:b w:val="0"/>
          <w:bCs/>
          <w:sz w:val="16"/>
          <w:szCs w:val="16"/>
        </w:rPr>
        <w:t>alidation</w:t>
      </w:r>
    </w:p>
    <w:tbl>
      <w:tblPr>
        <w:tblStyle w:val="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1"/>
        <w:gridCol w:w="972"/>
        <w:gridCol w:w="4783"/>
      </w:tblGrid>
      <w:tr w14:paraId="1EFE42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0" w:hRule="atLeast"/>
          <w:jc w:val="center"/>
        </w:trPr>
        <w:tc>
          <w:tcPr>
            <w:tcW w:w="2521" w:type="dxa"/>
            <w:tcBorders>
              <w:top w:val="single" w:color="auto" w:sz="4" w:space="0"/>
              <w:bottom w:val="single" w:color="auto" w:sz="4" w:space="0"/>
            </w:tcBorders>
          </w:tcPr>
          <w:p w14:paraId="7B8ABE43">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Endpoint</w:t>
            </w:r>
          </w:p>
        </w:tc>
        <w:tc>
          <w:tcPr>
            <w:tcW w:w="972" w:type="dxa"/>
            <w:tcBorders>
              <w:top w:val="single" w:color="auto" w:sz="4" w:space="0"/>
              <w:bottom w:val="single" w:color="auto" w:sz="4" w:space="0"/>
            </w:tcBorders>
          </w:tcPr>
          <w:p w14:paraId="14B1FD97">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Method</w:t>
            </w:r>
          </w:p>
        </w:tc>
        <w:tc>
          <w:tcPr>
            <w:tcW w:w="4783" w:type="dxa"/>
            <w:tcBorders>
              <w:top w:val="single" w:color="auto" w:sz="4" w:space="0"/>
              <w:bottom w:val="single" w:color="auto" w:sz="4" w:space="0"/>
            </w:tcBorders>
          </w:tcPr>
          <w:p w14:paraId="0B5A370A">
            <w:pPr>
              <w:adjustRightInd w:val="0"/>
              <w:snapToGrid w:val="0"/>
              <w:spacing w:line="228" w:lineRule="auto"/>
              <w:jc w:val="left"/>
              <w:rPr>
                <w:rFonts w:ascii="Times New Roman" w:hAnsi="Times New Roman" w:cs="Times New Roman"/>
                <w:b/>
                <w:sz w:val="16"/>
                <w:szCs w:val="16"/>
              </w:rPr>
            </w:pPr>
            <w:r>
              <w:rPr>
                <w:rFonts w:ascii="Times New Roman" w:hAnsi="Times New Roman" w:cs="Times New Roman"/>
                <w:b/>
                <w:sz w:val="16"/>
                <w:szCs w:val="16"/>
              </w:rPr>
              <w:t>Functionality</w:t>
            </w:r>
          </w:p>
        </w:tc>
      </w:tr>
      <w:tr w14:paraId="28293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521" w:type="dxa"/>
            <w:tcBorders>
              <w:top w:val="single" w:color="auto" w:sz="4" w:space="0"/>
            </w:tcBorders>
            <w:vAlign w:val="center"/>
          </w:tcPr>
          <w:p w14:paraId="1B46B6C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“/api/agent/personality-trace”</w:t>
            </w:r>
          </w:p>
        </w:tc>
        <w:tc>
          <w:tcPr>
            <w:tcW w:w="972" w:type="dxa"/>
            <w:tcBorders>
              <w:top w:val="single" w:color="auto" w:sz="4" w:space="0"/>
            </w:tcBorders>
            <w:vAlign w:val="center"/>
          </w:tcPr>
          <w:p w14:paraId="02DF853B">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GET</w:t>
            </w:r>
          </w:p>
        </w:tc>
        <w:tc>
          <w:tcPr>
            <w:tcW w:w="4783" w:type="dxa"/>
            <w:tcBorders>
              <w:top w:val="single" w:color="auto" w:sz="4" w:space="0"/>
            </w:tcBorders>
            <w:vAlign w:val="center"/>
          </w:tcPr>
          <w:p w14:paraId="5406E919">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Returns MBTI effective multipliers, action probability distributions, recent 50 decision logs</w:t>
            </w:r>
          </w:p>
        </w:tc>
      </w:tr>
      <w:tr w14:paraId="0D64D5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0" w:hRule="atLeast"/>
          <w:jc w:val="center"/>
        </w:trPr>
        <w:tc>
          <w:tcPr>
            <w:tcW w:w="2521" w:type="dxa"/>
            <w:vAlign w:val="center"/>
          </w:tcPr>
          <w:p w14:paraId="4FD21F9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“/api/simulation/status”</w:t>
            </w:r>
          </w:p>
        </w:tc>
        <w:tc>
          <w:tcPr>
            <w:tcW w:w="972" w:type="dxa"/>
            <w:vAlign w:val="center"/>
          </w:tcPr>
          <w:p w14:paraId="4B122B22">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GET</w:t>
            </w:r>
          </w:p>
        </w:tc>
        <w:tc>
          <w:tcPr>
            <w:tcW w:w="4783" w:type="dxa"/>
            <w:vAlign w:val="center"/>
          </w:tcPr>
          <w:p w14:paraId="130DA44D">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Returns tick count, simulation speed, online agent count</w:t>
            </w:r>
          </w:p>
        </w:tc>
      </w:tr>
      <w:tr w14:paraId="35B8E0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0" w:hRule="atLeast"/>
          <w:jc w:val="center"/>
        </w:trPr>
        <w:tc>
          <w:tcPr>
            <w:tcW w:w="2521" w:type="dxa"/>
            <w:vAlign w:val="center"/>
          </w:tcPr>
          <w:p w14:paraId="705F337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“/api/simulation/diagnostics”</w:t>
            </w:r>
          </w:p>
        </w:tc>
        <w:tc>
          <w:tcPr>
            <w:tcW w:w="972" w:type="dxa"/>
            <w:vAlign w:val="center"/>
          </w:tcPr>
          <w:p w14:paraId="0F463D44">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GET</w:t>
            </w:r>
          </w:p>
        </w:tc>
        <w:tc>
          <w:tcPr>
            <w:tcW w:w="4783" w:type="dxa"/>
            <w:vAlign w:val="center"/>
          </w:tcPr>
          <w:p w14:paraId="14A915E0">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Runtime fingerprints, floor distributions, action hotspot ratios</w:t>
            </w:r>
          </w:p>
        </w:tc>
      </w:tr>
      <w:tr w14:paraId="152541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0" w:hRule="atLeast"/>
          <w:jc w:val="center"/>
        </w:trPr>
        <w:tc>
          <w:tcPr>
            <w:tcW w:w="2521" w:type="dxa"/>
            <w:vAlign w:val="center"/>
          </w:tcPr>
          <w:p w14:paraId="1084D750">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“/api/simulation/rebuild-npcs”</w:t>
            </w:r>
          </w:p>
        </w:tc>
        <w:tc>
          <w:tcPr>
            <w:tcW w:w="972" w:type="dxa"/>
            <w:vAlign w:val="center"/>
          </w:tcPr>
          <w:p w14:paraId="5344C505">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POST</w:t>
            </w:r>
          </w:p>
        </w:tc>
        <w:tc>
          <w:tcPr>
            <w:tcW w:w="4783" w:type="dxa"/>
            <w:vAlign w:val="center"/>
          </w:tcPr>
          <w:p w14:paraId="10472A0F">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Idempotent rebuilding of all 16 NPCs</w:t>
            </w:r>
          </w:p>
        </w:tc>
      </w:tr>
      <w:tr w14:paraId="158FBB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0" w:hRule="atLeast"/>
          <w:jc w:val="center"/>
        </w:trPr>
        <w:tc>
          <w:tcPr>
            <w:tcW w:w="2521" w:type="dxa"/>
            <w:vAlign w:val="center"/>
          </w:tcPr>
          <w:p w14:paraId="5157C3A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“/api/simulation/speed”</w:t>
            </w:r>
          </w:p>
        </w:tc>
        <w:tc>
          <w:tcPr>
            <w:tcW w:w="972" w:type="dxa"/>
            <w:vAlign w:val="center"/>
          </w:tcPr>
          <w:p w14:paraId="2EF9CF43">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POST</w:t>
            </w:r>
          </w:p>
        </w:tc>
        <w:tc>
          <w:tcPr>
            <w:tcW w:w="4783" w:type="dxa"/>
            <w:vAlign w:val="center"/>
          </w:tcPr>
          <w:p w14:paraId="4090FEE7">
            <w:pPr>
              <w:adjustRightInd w:val="0"/>
              <w:snapToGrid w:val="0"/>
              <w:spacing w:line="228" w:lineRule="auto"/>
              <w:jc w:val="left"/>
              <w:rPr>
                <w:rFonts w:ascii="Times New Roman" w:hAnsi="Times New Roman" w:cs="Times New Roman"/>
                <w:sz w:val="16"/>
                <w:szCs w:val="16"/>
              </w:rPr>
            </w:pPr>
            <w:r>
              <w:rPr>
                <w:rFonts w:ascii="Times New Roman" w:hAnsi="Times New Roman" w:cs="Times New Roman"/>
                <w:sz w:val="16"/>
                <w:szCs w:val="16"/>
              </w:rPr>
              <w:t>Adjusts simulation speed (0.5×~10×)</w:t>
            </w:r>
          </w:p>
        </w:tc>
      </w:tr>
    </w:tbl>
    <w:p w14:paraId="4610B16B">
      <w:pPr>
        <w:adjustRightInd w:val="0"/>
        <w:snapToGrid w:val="0"/>
        <w:spacing w:before="120" w:after="120" w:line="228" w:lineRule="auto"/>
        <w:rPr>
          <w:rFonts w:ascii="Times New Roman" w:hAnsi="Times New Roman" w:cs="Times New Roman"/>
          <w:b/>
          <w:sz w:val="20"/>
          <w:szCs w:val="20"/>
        </w:rPr>
      </w:pPr>
      <w:r>
        <w:rPr>
          <w:rFonts w:hint="eastAsia" w:ascii="Times New Roman" w:hAnsi="Times New Roman" w:cs="Times New Roman"/>
          <w:b/>
          <w:sz w:val="20"/>
          <w:szCs w:val="20"/>
        </w:rPr>
        <w:t>3</w:t>
      </w:r>
      <w:r>
        <w:rPr>
          <w:rFonts w:ascii="Times New Roman" w:hAnsi="Times New Roman" w:cs="Times New Roman"/>
          <w:b/>
          <w:sz w:val="20"/>
          <w:szCs w:val="20"/>
        </w:rPr>
        <w:t xml:space="preserve">  </w:t>
      </w:r>
      <w:r>
        <w:rPr>
          <w:rFonts w:hint="eastAsia" w:ascii="Times New Roman" w:hAnsi="Times New Roman" w:cs="Times New Roman"/>
          <w:b/>
          <w:sz w:val="20"/>
          <w:szCs w:val="20"/>
        </w:rPr>
        <w:t>Illustrative examples</w:t>
      </w:r>
    </w:p>
    <w:p w14:paraId="09731DCE">
      <w:pPr>
        <w:adjustRightInd w:val="0"/>
        <w:snapToGrid w:val="0"/>
        <w:spacing w:before="120" w:after="120" w:line="228" w:lineRule="auto"/>
        <w:rPr>
          <w:rFonts w:ascii="Times New Roman" w:hAnsi="Times New Roman" w:cs="Times New Roman"/>
          <w:b/>
          <w:sz w:val="20"/>
          <w:szCs w:val="20"/>
        </w:rPr>
      </w:pPr>
      <w:r>
        <w:rPr>
          <w:rFonts w:hint="eastAsia" w:ascii="Times New Roman" w:hAnsi="Times New Roman" w:cs="Times New Roman"/>
          <w:b/>
          <w:sz w:val="20"/>
          <w:szCs w:val="20"/>
        </w:rPr>
        <w:t>Example 1: Comparing ISTJ and ENFP behavioral profiles</w:t>
      </w:r>
    </w:p>
    <w:p w14:paraId="204B29B3">
      <w:pPr>
        <w:adjustRightInd w:val="0"/>
        <w:snapToGrid w:val="0"/>
        <w:spacing w:before="120" w:after="120" w:line="228" w:lineRule="auto"/>
        <w:rPr>
          <w:rFonts w:ascii="Times New Roman" w:hAnsi="Times New Roman" w:cs="Times New Roman"/>
          <w:bCs/>
          <w:sz w:val="20"/>
          <w:szCs w:val="20"/>
        </w:rPr>
      </w:pPr>
      <w:r>
        <w:rPr>
          <w:rFonts w:hint="eastAsia" w:ascii="Times New Roman" w:hAnsi="Times New Roman" w:cs="Times New Roman"/>
          <w:bCs/>
          <w:sz w:val="20"/>
          <w:szCs w:val="20"/>
        </w:rPr>
        <w:t>To illustrate how MBTI parameterization produces observable behavioral differences, we create two agents—one ISTJ ("The Inspector") and one ENFP ("The Campaigner")—and run the simulation for 100 ticks under a fixed random seed.</w:t>
      </w:r>
    </w:p>
    <w:p w14:paraId="7E8B84E6">
      <w:pPr>
        <w:adjustRightInd w:val="0"/>
        <w:snapToGrid w:val="0"/>
        <w:spacing w:before="120" w:after="120" w:line="228" w:lineRule="auto"/>
        <w:rPr>
          <w:rFonts w:ascii="Times New Roman" w:hAnsi="Times New Roman" w:cs="Times New Roman"/>
          <w:bCs/>
          <w:sz w:val="20"/>
          <w:szCs w:val="20"/>
        </w:rPr>
      </w:pPr>
      <w:r>
        <w:rPr>
          <w:rFonts w:hint="eastAsia" w:ascii="Times New Roman" w:hAnsi="Times New Roman" w:cs="Times New Roman"/>
          <w:bCs/>
          <w:sz w:val="20"/>
          <w:szCs w:val="20"/>
        </w:rPr>
        <w:t xml:space="preserve">The ISTJ agent's normalized action probabilities are: work 49.6%, chat 7.2%, rest 12.2%, move 9.4%, meeting 21.6%. The ENFP agent's are: work 21.4%, chat 24.3%, rest 10.0%, move 22.9%, meeting 21.4%. Over the 100-tick run, ISTJ spent 53 ticks working and 5 ticks chatting, while ENFP spent 19 ticks working and 27 ticks chatting. These differences are directly traceable to the </w:t>
      </w:r>
      <w:r>
        <w:rPr>
          <w:rFonts w:ascii="Times New Roman" w:hAnsi="Times New Roman" w:cs="Times New Roman"/>
          <w:sz w:val="20"/>
          <w:szCs w:val="20"/>
        </w:rPr>
        <w:t>Δ</w:t>
      </w:r>
      <w:r>
        <w:rPr>
          <w:rFonts w:hint="eastAsia" w:ascii="Times New Roman" w:hAnsi="Times New Roman" w:cs="Times New Roman"/>
          <w:sz w:val="20"/>
          <w:szCs w:val="20"/>
        </w:rPr>
        <w:t xml:space="preserve"> </w:t>
      </w:r>
      <w:r>
        <w:rPr>
          <w:rFonts w:hint="eastAsia" w:ascii="Times New Roman" w:hAnsi="Times New Roman" w:cs="Times New Roman"/>
          <w:bCs/>
          <w:sz w:val="20"/>
          <w:szCs w:val="20"/>
        </w:rPr>
        <w:t xml:space="preserve">matrix (Table 3): Introversion adds +15 to work weight, while Extroversion adds +15 to chat and +10 to move.        </w:t>
      </w:r>
    </w:p>
    <w:p w14:paraId="497679B2">
      <w:pPr>
        <w:adjustRightInd w:val="0"/>
        <w:snapToGrid w:val="0"/>
        <w:spacing w:before="120" w:after="120" w:line="228" w:lineRule="auto"/>
        <w:rPr>
          <w:rFonts w:ascii="Times New Roman" w:hAnsi="Times New Roman" w:cs="Times New Roman"/>
          <w:bCs/>
          <w:sz w:val="20"/>
          <w:szCs w:val="20"/>
        </w:rPr>
      </w:pPr>
      <w:r>
        <w:rPr>
          <w:rFonts w:hint="eastAsia" w:ascii="Times New Roman" w:hAnsi="Times New Roman" w:cs="Times New Roman"/>
          <w:bCs/>
          <w:sz w:val="20"/>
          <w:szCs w:val="20"/>
        </w:rPr>
        <w:t xml:space="preserve">The personality-trace API (GET /api/agent/personality-trace) returns the full decision log for each agent, allowing users to inspect every tick's decision rationale, including which MBTI factors contributed and whether the decision was made by the event layer, schedule layer, LLM layer, or weighted fallback. </w:t>
      </w:r>
    </w:p>
    <w:p w14:paraId="61276B2B">
      <w:pPr>
        <w:adjustRightInd w:val="0"/>
        <w:snapToGrid w:val="0"/>
        <w:spacing w:before="120" w:after="120" w:line="228" w:lineRule="auto"/>
        <w:rPr>
          <w:rFonts w:ascii="Times New Roman" w:hAnsi="Times New Roman" w:cs="Times New Roman"/>
          <w:b/>
          <w:sz w:val="20"/>
          <w:szCs w:val="20"/>
        </w:rPr>
      </w:pPr>
      <w:r>
        <w:rPr>
          <w:rFonts w:hint="eastAsia" w:ascii="Times New Roman" w:hAnsi="Times New Roman" w:cs="Times New Roman"/>
          <w:b/>
          <w:sz w:val="20"/>
          <w:szCs w:val="20"/>
        </w:rPr>
        <w:t>Example 2: Reproducing validation results</w:t>
      </w:r>
    </w:p>
    <w:p w14:paraId="404731BA">
      <w:pPr>
        <w:adjustRightInd w:val="0"/>
        <w:snapToGrid w:val="0"/>
        <w:spacing w:before="120" w:after="120" w:line="228" w:lineRule="auto"/>
        <w:jc w:val="left"/>
        <w:rPr>
          <w:rFonts w:ascii="Times New Roman" w:hAnsi="Times New Roman" w:cs="Times New Roman"/>
          <w:bCs/>
          <w:sz w:val="20"/>
          <w:szCs w:val="20"/>
        </w:rPr>
      </w:pPr>
      <w:r>
        <w:rPr>
          <w:rFonts w:ascii="Times New Roman" w:hAnsi="Times New Roman" w:cs="Times New Roman"/>
          <w:sz w:val="20"/>
          <w:szCs w:val="20"/>
        </w:rPr>
        <w:t>By executing python experiments/run_behavior_consistency.py, users can reproduce the validation results reported in this paper. The script uses fixed seeds, runs 1000 action samples per MBTI type, and writes machine-readable CSV output to results/behavior_consistency.csv. No frontend, database, or LLM service is required.</w:t>
      </w:r>
    </w:p>
    <w:p w14:paraId="064B9600">
      <w:pPr>
        <w:adjustRightInd w:val="0"/>
        <w:snapToGrid w:val="0"/>
        <w:spacing w:before="120" w:after="120" w:line="228" w:lineRule="auto"/>
        <w:rPr>
          <w:rFonts w:ascii="Times New Roman" w:hAnsi="Times New Roman" w:cs="Times New Roman"/>
          <w:b/>
          <w:sz w:val="20"/>
          <w:szCs w:val="20"/>
        </w:rPr>
      </w:pPr>
      <w:r>
        <w:rPr>
          <w:rFonts w:ascii="Times New Roman" w:hAnsi="Times New Roman" w:cs="Times New Roman"/>
          <w:b/>
          <w:sz w:val="20"/>
          <w:szCs w:val="20"/>
        </w:rPr>
        <w:t xml:space="preserve">4  </w:t>
      </w:r>
      <w:r>
        <w:rPr>
          <w:rFonts w:hint="eastAsia" w:ascii="Times New Roman" w:hAnsi="Times New Roman" w:cs="Times New Roman"/>
          <w:b/>
          <w:sz w:val="20"/>
          <w:szCs w:val="20"/>
        </w:rPr>
        <w:t>Impact</w:t>
      </w:r>
    </w:p>
    <w:p w14:paraId="1CC620EB">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4.1 New research opportunities enabled</w:t>
      </w:r>
    </w:p>
    <w:p w14:paraId="77E9A392">
      <w:pPr>
        <w:adjustRightInd w:val="0"/>
        <w:snapToGrid w:val="0"/>
        <w:spacing w:line="228" w:lineRule="auto"/>
        <w:rPr>
          <w:rFonts w:ascii="Times New Roman" w:hAnsi="Times New Roman" w:cs="Times New Roman"/>
          <w:bCs/>
          <w:sz w:val="20"/>
          <w:szCs w:val="20"/>
        </w:rPr>
      </w:pPr>
      <w:r>
        <w:rPr>
          <w:rFonts w:hint="eastAsia" w:ascii="Times New Roman" w:hAnsi="Times New Roman" w:cs="Times New Roman"/>
          <w:bCs/>
          <w:sz w:val="20"/>
          <w:szCs w:val="20"/>
        </w:rPr>
        <w:t xml:space="preserve">The explicit parameterization design opens several research directions that opaque prompt-based agents do not readily support. Researchers can systematically vary  individual MBTI dimensions while holding others constant, enabling controlled personality ablation studies. The stored decision logs allow post-hoc analysis of how  personality traits interact with organizational context (e.g., how Introversion affects meeting participation frequency under different event densities). The modular weight structure also facilitates comparative studies across personality frameworks: replacing the MBTI </w:t>
      </w:r>
      <w:r>
        <w:rPr>
          <w:rFonts w:ascii="Times New Roman" w:hAnsi="Times New Roman" w:cs="Times New Roman"/>
          <w:sz w:val="20"/>
          <w:szCs w:val="20"/>
        </w:rPr>
        <w:t>Δ</w:t>
      </w:r>
      <w:r>
        <w:rPr>
          <w:rFonts w:hint="eastAsia" w:ascii="Times New Roman" w:hAnsi="Times New Roman" w:cs="Times New Roman"/>
          <w:sz w:val="20"/>
          <w:szCs w:val="20"/>
        </w:rPr>
        <w:t xml:space="preserve"> </w:t>
      </w:r>
      <w:r>
        <w:rPr>
          <w:rFonts w:hint="eastAsia" w:ascii="Times New Roman" w:hAnsi="Times New Roman" w:cs="Times New Roman"/>
          <w:bCs/>
          <w:sz w:val="20"/>
          <w:szCs w:val="20"/>
        </w:rPr>
        <w:t>matrix with Big Five or Holland trait mappings requires modifying only the parameterization layer, while the simulation infrastructure remains unchanged.</w:t>
      </w:r>
    </w:p>
    <w:p w14:paraId="59350DD3">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4.2 Improvement over existing approaches</w:t>
      </w:r>
    </w:p>
    <w:p w14:paraId="6360462B">
      <w:pPr>
        <w:adjustRightInd w:val="0"/>
        <w:snapToGrid w:val="0"/>
        <w:spacing w:line="228" w:lineRule="auto"/>
        <w:rPr>
          <w:rFonts w:ascii="Times New Roman" w:hAnsi="Times New Roman" w:cs="Times New Roman"/>
          <w:bCs/>
          <w:sz w:val="20"/>
          <w:szCs w:val="20"/>
        </w:rPr>
      </w:pPr>
      <w:r>
        <w:rPr>
          <w:rFonts w:hint="eastAsia" w:ascii="Times New Roman" w:hAnsi="Times New Roman" w:cs="Times New Roman"/>
          <w:bCs/>
          <w:sz w:val="20"/>
          <w:szCs w:val="20"/>
        </w:rPr>
        <w:t>T</w:t>
      </w:r>
      <w:r>
        <w:rPr>
          <w:rFonts w:ascii="Times New Roman" w:hAnsi="Times New Roman" w:cs="Times New Roman"/>
          <w:bCs/>
          <w:sz w:val="20"/>
          <w:szCs w:val="20"/>
        </w:rPr>
        <w:t>his software provides three concrete improvements. First, behavioral differences are quantitatively traceable to specific weight parameters rather than embedded in opaque language model internals. Second, the deterministic fallback path enables exact reproduction without service variability, reducing experiment cost and improving replicability. Third, the diagnostic API layer allows researchers to query runtime state</w:t>
      </w:r>
      <w:r>
        <w:rPr>
          <w:rFonts w:hint="eastAsia" w:ascii="Times New Roman" w:hAnsi="Times New Roman" w:cs="Times New Roman"/>
          <w:bCs/>
          <w:sz w:val="20"/>
          <w:szCs w:val="20"/>
        </w:rPr>
        <w:t xml:space="preserve"> </w:t>
      </w:r>
      <w:r>
        <w:rPr>
          <w:rFonts w:ascii="Times New Roman" w:hAnsi="Times New Roman" w:cs="Times New Roman"/>
          <w:bCs/>
          <w:sz w:val="20"/>
          <w:szCs w:val="20"/>
        </w:rPr>
        <w:t>programmatically rather than relying on manual observation or log parsing.</w:t>
      </w:r>
    </w:p>
    <w:p w14:paraId="7F70DCBF">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4.3 Practical adoption and daily practice</w:t>
      </w:r>
    </w:p>
    <w:p w14:paraId="27D198A1">
      <w:pPr>
        <w:adjustRightInd w:val="0"/>
        <w:snapToGrid w:val="0"/>
        <w:spacing w:line="228" w:lineRule="auto"/>
        <w:rPr>
          <w:rFonts w:ascii="Times New Roman" w:hAnsi="Times New Roman" w:cs="Times New Roman"/>
          <w:bCs/>
          <w:sz w:val="20"/>
          <w:szCs w:val="20"/>
        </w:rPr>
      </w:pPr>
      <w:r>
        <w:rPr>
          <w:rFonts w:ascii="Times New Roman" w:hAnsi="Times New Roman" w:cs="Times New Roman"/>
          <w:bCs/>
          <w:sz w:val="20"/>
          <w:szCs w:val="20"/>
        </w:rPr>
        <w:t xml:space="preserve">The software has been deployed as a career exploration module in a university career education pilot at Hohai University, allowing students to experience simulated workplace dynamics before making career decisions. The repository is publicly available on GitHub. </w:t>
      </w:r>
      <w:r>
        <w:rPr>
          <w:rFonts w:hint="eastAsia" w:ascii="Times New Roman" w:hAnsi="Times New Roman" w:cs="Times New Roman"/>
          <w:bCs/>
          <w:sz w:val="20"/>
          <w:szCs w:val="20"/>
        </w:rPr>
        <w:t>The deterministic experimental scripts lower the barrier for classroom and research adoption because they can run in a Python-only mode; however, the full interactive simulator requires PostgreSQL, Redis, the FastAPI backend, and the Vue frontend.</w:t>
      </w:r>
    </w:p>
    <w:p w14:paraId="2ED91B1A">
      <w:pPr>
        <w:adjustRightInd w:val="0"/>
        <w:snapToGrid w:val="0"/>
        <w:spacing w:line="228" w:lineRule="auto"/>
        <w:rPr>
          <w:rFonts w:ascii="Times New Roman" w:hAnsi="Times New Roman" w:cs="Times New Roman"/>
          <w:b/>
          <w:sz w:val="20"/>
          <w:szCs w:val="20"/>
        </w:rPr>
      </w:pPr>
      <w:r>
        <w:rPr>
          <w:rFonts w:hint="eastAsia" w:ascii="Times New Roman" w:hAnsi="Times New Roman" w:cs="Times New Roman"/>
          <w:b/>
          <w:sz w:val="20"/>
          <w:szCs w:val="20"/>
        </w:rPr>
        <w:t>4.4 Reproducible validation evidence</w:t>
      </w:r>
    </w:p>
    <w:p w14:paraId="4E3EF05B">
      <w:pPr>
        <w:adjustRightInd w:val="0"/>
        <w:snapToGrid w:val="0"/>
        <w:spacing w:line="228" w:lineRule="auto"/>
        <w:rPr>
          <w:rFonts w:ascii="Times New Roman" w:hAnsi="Times New Roman" w:cs="Times New Roman"/>
          <w:sz w:val="20"/>
          <w:szCs w:val="20"/>
        </w:rPr>
      </w:pPr>
      <w:r>
        <w:rPr>
          <w:rFonts w:hint="eastAsia" w:ascii="Times New Roman" w:hAnsi="Times New Roman" w:cs="Times New Roman"/>
          <w:sz w:val="20"/>
          <w:szCs w:val="20"/>
        </w:rPr>
        <w:t>We distinguish two reproducibility modes. The full interactive system requires PostgreSQL, Redis, the FastAPI backend, and the Vue frontend; Docker Compose is provided to reproduce the full stack with a single command (`docker compose up --build`). In contrast, the fixed-seed evaluation scripts under `experiments/` can run in a lightweight Python-only mode for reproducing behavior-consistency and ablation metrics, without requiring PostgreSQL or Redis.</w:t>
      </w:r>
    </w:p>
    <w:p w14:paraId="59F17A47">
      <w:pPr>
        <w:adjustRightInd w:val="0"/>
        <w:snapToGrid w:val="0"/>
        <w:spacing w:line="228" w:lineRule="auto"/>
        <w:rPr>
          <w:rFonts w:hint="eastAsia" w:ascii="Times New Roman" w:hAnsi="Times New Roman" w:cs="Times New Roman" w:eastAsiaTheme="minorEastAsia"/>
          <w:sz w:val="20"/>
          <w:szCs w:val="20"/>
          <w:lang w:val="en-US" w:eastAsia="zh-CN"/>
        </w:rPr>
      </w:pPr>
      <w:r>
        <w:rPr>
          <w:rFonts w:ascii="Times New Roman" w:hAnsi="Times New Roman" w:cs="Times New Roman"/>
          <w:sz w:val="20"/>
          <w:szCs w:val="20"/>
        </w:rPr>
        <w:t>The script “experiments/run_behavior_consistency.py” uses fixed seeds and the current MBTI behavior mapping, comparing sampled action distributions against the implementation-defined expected distributions. Under the current code version, the average MBTI behavioral consistency score is 98.0%. This result supports the claim that “the implemented mapping produces stable, type-conditioned behavioral patterns”.</w:t>
      </w:r>
      <w:r>
        <w:rPr>
          <w:rFonts w:hint="eastAsia" w:ascii="Times New Roman" w:hAnsi="Times New Roman" w:cs="Times New Roman"/>
          <w:sz w:val="20"/>
          <w:szCs w:val="20"/>
          <w:lang w:val="en-US" w:eastAsia="zh-CN"/>
        </w:rPr>
        <w:t xml:space="preserve"> This result is best interpreted as implementation-level evidence that the executable system follows the declared MBTI parameterization under fixed seeds. It therefore supports reproducibility and behavioral differentiation within the current software, while not being intended as direct evidence of the psychological validity of MBTI itself.</w:t>
      </w:r>
    </w:p>
    <w:p w14:paraId="1FECDAB9">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script “experiments/run_ablation.py” evaluates the current implementation under three conditions: complete system, without MBTI mapping, without event participation. In the current reproducible run:</w:t>
      </w:r>
    </w:p>
    <w:p w14:paraId="5C8FB862">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Removing MBTI mapping reduces the average pairwise KL divergence by 65.33%;</w:t>
      </w:r>
    </w:p>
    <w:p w14:paraId="10A164E4">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Removing event participation reduces the average action distribution entropy by 1.78%.</w:t>
      </w:r>
    </w:p>
    <w:p w14:paraId="6A39CDD2">
      <w:pPr>
        <w:adjustRightInd w:val="0"/>
        <w:snapToGrid w:val="0"/>
        <w:spacing w:line="228" w:lineRule="auto"/>
        <w:rPr>
          <w:rFonts w:hint="eastAsia" w:ascii="Times New Roman" w:hAnsi="Times New Roman" w:cs="Times New Roman"/>
          <w:sz w:val="20"/>
          <w:szCs w:val="20"/>
        </w:rPr>
      </w:pPr>
      <w:r>
        <w:rPr>
          <w:rFonts w:hint="eastAsia" w:ascii="Times New Roman" w:hAnsi="Times New Roman" w:cs="Times New Roman"/>
          <w:sz w:val="20"/>
          <w:szCs w:val="20"/>
        </w:rPr>
        <w:t>This modest entropy change is expected because the event layer is intermittent rather than dominant: events occur with a probability of 0.25 and persist for only two ticks, while the baseline action distribution is still primarily shaped by the MBTI-conditioned weight vector. In addition, event participation maps agents to the same predefined action categories rather than introducing new action types. Therefore, the event mechanism contributes more to contextual variation and action timing than to large shifts in the global action-category entropy.</w:t>
      </w:r>
    </w:p>
    <w:p w14:paraId="1AA837C7">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first result strongly supports the claim that “MBTI mapping is the primary source of type differentiation in the current software”. The second result indicates that the event mechanism still contributes to behavioral diversity, although the magnitude remains limited under the current ablation protocol and should therefore be interpreted conservatively.</w:t>
      </w:r>
    </w:p>
    <w:p w14:paraId="1CD95D20">
      <w:pPr>
        <w:adjustRightInd w:val="0"/>
        <w:snapToGrid w:val="0"/>
        <w:spacing w:line="228" w:lineRule="auto"/>
        <w:rPr>
          <w:rFonts w:hint="eastAsia" w:ascii="Times New Roman" w:hAnsi="Times New Roman" w:cs="Times New Roman"/>
          <w:sz w:val="20"/>
          <w:szCs w:val="20"/>
        </w:rPr>
      </w:pPr>
      <w:r>
        <w:rPr>
          <w:rFonts w:hint="eastAsia" w:ascii="Times New Roman" w:hAnsi="Times New Roman" w:cs="Times New Roman"/>
          <w:sz w:val="20"/>
          <w:szCs w:val="20"/>
        </w:rPr>
        <w:t xml:space="preserve">To avoid reporting only aggregate ablation summaries, we further report per-type action distributions across all 16 MBTI types under the full, no-MBTI, and no-event conditions. The per-type ablation table is provided in `results/per_type_ablation.csv`, and Fig. </w:t>
      </w:r>
      <w:r>
        <w:rPr>
          <w:rFonts w:hint="eastAsia" w:ascii="Times New Roman" w:hAnsi="Times New Roman" w:cs="Times New Roman"/>
          <w:sz w:val="20"/>
          <w:szCs w:val="20"/>
          <w:lang w:val="en-US" w:eastAsia="zh-CN"/>
        </w:rPr>
        <w:t>5</w:t>
      </w:r>
      <w:r>
        <w:rPr>
          <w:rFonts w:hint="eastAsia" w:ascii="Times New Roman" w:hAnsi="Times New Roman" w:cs="Times New Roman"/>
          <w:sz w:val="20"/>
          <w:szCs w:val="20"/>
        </w:rPr>
        <w:t xml:space="preserve"> visualizes the action-percentage shifts for `no_mbti - full` and `no_event - full`. This finer-grained analysis shows that the MBTI mapping is the major source of type differentiation, while the event layer mainly changes contextual timing and localized action selection rather than the global action vocabulary.</w:t>
      </w:r>
    </w:p>
    <w:p w14:paraId="1288DF94">
      <w:pPr>
        <w:adjustRightInd w:val="0"/>
        <w:snapToGrid w:val="0"/>
        <w:spacing w:line="228" w:lineRule="auto"/>
        <w:ind w:right="82" w:rightChars="39"/>
        <w:rPr>
          <w:rFonts w:hint="eastAsia" w:ascii="Times New Roman" w:hAnsi="Times New Roman" w:cs="Times New Roman" w:eastAsiaTheme="minorEastAsia"/>
          <w:sz w:val="20"/>
          <w:szCs w:val="20"/>
          <w:lang w:eastAsia="zh-CN"/>
        </w:rPr>
      </w:pPr>
      <w:r>
        <w:rPr>
          <w:rFonts w:hint="eastAsia" w:ascii="Times New Roman" w:hAnsi="Times New Roman" w:cs="Times New Roman" w:eastAsiaTheme="minorEastAsia"/>
          <w:sz w:val="20"/>
          <w:szCs w:val="20"/>
          <w:lang w:eastAsia="zh-CN"/>
        </w:rPr>
        <w:drawing>
          <wp:inline distT="0" distB="0" distL="114300" distR="114300">
            <wp:extent cx="5248910" cy="2874645"/>
            <wp:effectExtent l="0" t="0" r="8890" b="8255"/>
            <wp:docPr id="2" name="图片 2" descr="per_type_ab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er_type_ablation_heatmap"/>
                    <pic:cNvPicPr>
                      <a:picLocks noChangeAspect="1"/>
                    </pic:cNvPicPr>
                  </pic:nvPicPr>
                  <pic:blipFill>
                    <a:blip r:embed="rId9"/>
                    <a:stretch>
                      <a:fillRect/>
                    </a:stretch>
                  </pic:blipFill>
                  <pic:spPr>
                    <a:xfrm>
                      <a:off x="0" y="0"/>
                      <a:ext cx="5248910" cy="2874645"/>
                    </a:xfrm>
                    <a:prstGeom prst="rect">
                      <a:avLst/>
                    </a:prstGeom>
                  </pic:spPr>
                </pic:pic>
              </a:graphicData>
            </a:graphic>
          </wp:inline>
        </w:drawing>
      </w:r>
    </w:p>
    <w:p w14:paraId="4E366CA9">
      <w:pPr>
        <w:adjustRightInd w:val="0"/>
        <w:snapToGrid w:val="0"/>
        <w:spacing w:line="228" w:lineRule="auto"/>
        <w:jc w:val="center"/>
        <w:rPr>
          <w:rFonts w:hint="eastAsia" w:ascii="Times New Roman" w:hAnsi="Times New Roman" w:cs="Times New Roman"/>
          <w:sz w:val="16"/>
          <w:szCs w:val="16"/>
        </w:rPr>
      </w:pPr>
      <w:r>
        <w:rPr>
          <w:rFonts w:hint="eastAsia" w:ascii="Times New Roman" w:hAnsi="Times New Roman" w:cs="Times New Roman"/>
          <w:b/>
          <w:bCs/>
          <w:sz w:val="16"/>
          <w:szCs w:val="16"/>
        </w:rPr>
        <w:t xml:space="preserve">Fig. </w:t>
      </w:r>
      <w:r>
        <w:rPr>
          <w:rFonts w:hint="eastAsia" w:ascii="Times New Roman" w:hAnsi="Times New Roman" w:cs="Times New Roman"/>
          <w:b/>
          <w:bCs/>
          <w:sz w:val="16"/>
          <w:szCs w:val="16"/>
          <w:lang w:val="en-US" w:eastAsia="zh-CN"/>
        </w:rPr>
        <w:t>5</w:t>
      </w:r>
      <w:r>
        <w:rPr>
          <w:rFonts w:hint="eastAsia" w:ascii="Times New Roman" w:hAnsi="Times New Roman" w:cs="Times New Roman"/>
          <w:b/>
          <w:bCs/>
          <w:sz w:val="16"/>
          <w:szCs w:val="16"/>
        </w:rPr>
        <w:t>.</w:t>
      </w:r>
      <w:r>
        <w:rPr>
          <w:rFonts w:hint="eastAsia" w:ascii="Times New Roman" w:hAnsi="Times New Roman" w:cs="Times New Roman"/>
          <w:sz w:val="16"/>
          <w:szCs w:val="16"/>
        </w:rPr>
        <w:t xml:space="preserve"> Per-type action shifts under ablation.</w:t>
      </w:r>
    </w:p>
    <w:p w14:paraId="42708291">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script “experiments/run_tick_benchmark.py” benchmarks the runtime path of the current deployment. Across 50 measured ticks, the average tick time is 129.08 ms, with median 118.55 ms and p95 160.18 ms. Under the current benchmark setting, the latency distribution remains within a relatively stable range in the tested environment; for stricter cross-system comparison, a dedicated algorithm-only benchmark mode would still be valuable.</w:t>
      </w:r>
    </w:p>
    <w:p w14:paraId="56996603">
      <w:pPr>
        <w:adjustRightInd w:val="0"/>
        <w:snapToGrid w:val="0"/>
        <w:spacing w:line="228" w:lineRule="auto"/>
        <w:rPr>
          <w:rFonts w:hint="eastAsia" w:ascii="Times New Roman" w:hAnsi="Times New Roman" w:cs="Times New Roman"/>
          <w:sz w:val="20"/>
          <w:szCs w:val="20"/>
        </w:rPr>
      </w:pPr>
      <w:r>
        <w:rPr>
          <w:rFonts w:hint="eastAsia" w:ascii="Times New Roman" w:hAnsi="Times New Roman" w:cs="Times New Roman"/>
          <w:sz w:val="20"/>
          <w:szCs w:val="20"/>
        </w:rPr>
        <w:t xml:space="preserve">We also extend the runtime evaluation from a single benchmark setting to multiple agent-count scenarios. As shown in Table </w:t>
      </w:r>
      <w:r>
        <w:rPr>
          <w:rFonts w:hint="eastAsia" w:ascii="Times New Roman" w:hAnsi="Times New Roman" w:cs="Times New Roman"/>
          <w:sz w:val="20"/>
          <w:szCs w:val="20"/>
          <w:lang w:val="en-US" w:eastAsia="zh-CN"/>
        </w:rPr>
        <w:t>5</w:t>
      </w:r>
      <w:r>
        <w:rPr>
          <w:rFonts w:hint="eastAsia" w:ascii="Times New Roman" w:hAnsi="Times New Roman" w:cs="Times New Roman"/>
          <w:sz w:val="20"/>
          <w:szCs w:val="20"/>
        </w:rPr>
        <w:t xml:space="preserve"> and Fig. </w:t>
      </w:r>
      <w:r>
        <w:rPr>
          <w:rFonts w:hint="eastAsia" w:ascii="Times New Roman" w:hAnsi="Times New Roman" w:cs="Times New Roman"/>
          <w:sz w:val="20"/>
          <w:szCs w:val="20"/>
          <w:lang w:val="en-US" w:eastAsia="zh-CN"/>
        </w:rPr>
        <w:t>6</w:t>
      </w:r>
      <w:r>
        <w:rPr>
          <w:rFonts w:hint="eastAsia" w:ascii="Times New Roman" w:hAnsi="Times New Roman" w:cs="Times New Roman"/>
          <w:sz w:val="20"/>
          <w:szCs w:val="20"/>
        </w:rPr>
        <w:t>, tick latency increases monotonically as the number of agents increases from 16 to 100. This supplementary scaling benchmark provides a broader characterization of runtime behavior than the original single-setting evaluation.</w:t>
      </w:r>
    </w:p>
    <w:p w14:paraId="7BB7E297">
      <w:pPr>
        <w:adjustRightInd w:val="0"/>
        <w:snapToGrid w:val="0"/>
        <w:spacing w:line="228" w:lineRule="auto"/>
        <w:rPr>
          <w:rFonts w:hint="eastAsia" w:ascii="Times New Roman" w:hAnsi="Times New Roman" w:cs="Times New Roman"/>
          <w:b/>
          <w:bCs/>
          <w:sz w:val="16"/>
          <w:szCs w:val="16"/>
          <w:lang w:val="en-US" w:eastAsia="zh-CN"/>
        </w:rPr>
      </w:pPr>
      <w:r>
        <w:rPr>
          <w:rFonts w:hint="eastAsia" w:ascii="Times New Roman" w:hAnsi="Times New Roman" w:cs="Times New Roman"/>
          <w:b/>
          <w:bCs/>
          <w:sz w:val="16"/>
          <w:szCs w:val="16"/>
        </w:rPr>
        <w:t xml:space="preserve">Table </w:t>
      </w:r>
      <w:r>
        <w:rPr>
          <w:rFonts w:hint="eastAsia" w:ascii="Times New Roman" w:hAnsi="Times New Roman" w:cs="Times New Roman"/>
          <w:b/>
          <w:bCs/>
          <w:sz w:val="16"/>
          <w:szCs w:val="16"/>
          <w:lang w:val="en-US" w:eastAsia="zh-CN"/>
        </w:rPr>
        <w:t>5</w:t>
      </w:r>
    </w:p>
    <w:p w14:paraId="5ED5330C">
      <w:pPr>
        <w:adjustRightInd w:val="0"/>
        <w:snapToGrid w:val="0"/>
        <w:spacing w:line="228" w:lineRule="auto"/>
        <w:rPr>
          <w:rFonts w:hint="eastAsia" w:ascii="Times New Roman" w:hAnsi="Times New Roman" w:cs="Times New Roman"/>
          <w:sz w:val="16"/>
          <w:szCs w:val="16"/>
        </w:rPr>
      </w:pPr>
      <w:r>
        <w:rPr>
          <w:rFonts w:hint="eastAsia" w:ascii="Times New Roman" w:hAnsi="Times New Roman" w:cs="Times New Roman"/>
          <w:sz w:val="16"/>
          <w:szCs w:val="16"/>
        </w:rPr>
        <w:t>Tick latency scaling across agent counts</w:t>
      </w:r>
    </w:p>
    <w:tbl>
      <w:tblPr>
        <w:tblStyle w:val="9"/>
        <w:tblW w:w="0" w:type="auto"/>
        <w:tblInd w:w="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31"/>
        <w:gridCol w:w="1420"/>
        <w:gridCol w:w="1420"/>
        <w:gridCol w:w="1420"/>
        <w:gridCol w:w="1421"/>
        <w:gridCol w:w="1306"/>
      </w:tblGrid>
      <w:tr w14:paraId="4E3E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1" w:type="dxa"/>
            <w:tcBorders>
              <w:top w:val="single" w:color="000000" w:sz="12" w:space="0"/>
              <w:left w:val="nil"/>
              <w:bottom w:val="single" w:color="000000" w:sz="4" w:space="0"/>
              <w:right w:val="nil"/>
              <w:tl2br w:val="nil"/>
            </w:tcBorders>
            <w:shd w:val="clear" w:color="auto" w:fill="FFFFFF"/>
          </w:tcPr>
          <w:p w14:paraId="3CBCFE2F">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Agents</w:t>
            </w:r>
          </w:p>
        </w:tc>
        <w:tc>
          <w:tcPr>
            <w:tcW w:w="1420" w:type="dxa"/>
            <w:tcBorders>
              <w:top w:val="single" w:color="000000" w:sz="12" w:space="0"/>
              <w:left w:val="nil"/>
              <w:bottom w:val="single" w:color="000000" w:sz="4" w:space="0"/>
              <w:right w:val="nil"/>
            </w:tcBorders>
            <w:shd w:val="clear" w:color="auto" w:fill="FFFFFF"/>
          </w:tcPr>
          <w:p w14:paraId="297A1F2C">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Ticks</w:t>
            </w:r>
          </w:p>
        </w:tc>
        <w:tc>
          <w:tcPr>
            <w:tcW w:w="1420" w:type="dxa"/>
            <w:tcBorders>
              <w:top w:val="single" w:color="000000" w:sz="12" w:space="0"/>
              <w:left w:val="nil"/>
              <w:bottom w:val="single" w:color="000000" w:sz="4" w:space="0"/>
              <w:right w:val="nil"/>
            </w:tcBorders>
            <w:shd w:val="clear" w:color="auto" w:fill="FFFFFF"/>
          </w:tcPr>
          <w:p w14:paraId="500E4798">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Mean latency(ms)</w:t>
            </w:r>
          </w:p>
        </w:tc>
        <w:tc>
          <w:tcPr>
            <w:tcW w:w="1420" w:type="dxa"/>
            <w:tcBorders>
              <w:top w:val="single" w:color="000000" w:sz="12" w:space="0"/>
              <w:left w:val="nil"/>
              <w:bottom w:val="single" w:color="000000" w:sz="4" w:space="0"/>
              <w:right w:val="nil"/>
            </w:tcBorders>
            <w:shd w:val="clear" w:color="auto" w:fill="FFFFFF"/>
          </w:tcPr>
          <w:p w14:paraId="59693EB9">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Median(ms)</w:t>
            </w:r>
          </w:p>
        </w:tc>
        <w:tc>
          <w:tcPr>
            <w:tcW w:w="1421" w:type="dxa"/>
            <w:tcBorders>
              <w:top w:val="single" w:color="000000" w:sz="12" w:space="0"/>
              <w:left w:val="nil"/>
              <w:bottom w:val="single" w:color="000000" w:sz="4" w:space="0"/>
              <w:right w:val="nil"/>
            </w:tcBorders>
            <w:shd w:val="clear" w:color="auto" w:fill="FFFFFF"/>
          </w:tcPr>
          <w:p w14:paraId="25FFCB07">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p95(ms)</w:t>
            </w:r>
          </w:p>
        </w:tc>
        <w:tc>
          <w:tcPr>
            <w:tcW w:w="1306" w:type="dxa"/>
            <w:tcBorders>
              <w:top w:val="single" w:color="000000" w:sz="12" w:space="0"/>
              <w:left w:val="nil"/>
              <w:bottom w:val="single" w:color="000000" w:sz="4" w:space="0"/>
              <w:right w:val="nil"/>
            </w:tcBorders>
            <w:shd w:val="clear" w:color="auto" w:fill="FFFFFF"/>
          </w:tcPr>
          <w:p w14:paraId="35A20347">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Max(ms)</w:t>
            </w:r>
          </w:p>
        </w:tc>
      </w:tr>
      <w:tr w14:paraId="1486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31" w:type="dxa"/>
            <w:tcBorders>
              <w:top w:val="single" w:color="000000" w:sz="4" w:space="0"/>
              <w:left w:val="nil"/>
              <w:bottom w:val="nil"/>
              <w:right w:val="nil"/>
            </w:tcBorders>
            <w:shd w:val="clear" w:color="auto" w:fill="FFFFFF"/>
          </w:tcPr>
          <w:p w14:paraId="46D0FF95">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16</w:t>
            </w:r>
          </w:p>
        </w:tc>
        <w:tc>
          <w:tcPr>
            <w:tcW w:w="1420" w:type="dxa"/>
            <w:tcBorders>
              <w:top w:val="single" w:color="000000" w:sz="4" w:space="0"/>
              <w:left w:val="nil"/>
              <w:bottom w:val="nil"/>
              <w:right w:val="nil"/>
            </w:tcBorders>
            <w:shd w:val="clear" w:color="auto" w:fill="FFFFFF"/>
          </w:tcPr>
          <w:p w14:paraId="409C4E54">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50</w:t>
            </w:r>
          </w:p>
        </w:tc>
        <w:tc>
          <w:tcPr>
            <w:tcW w:w="1420" w:type="dxa"/>
            <w:tcBorders>
              <w:top w:val="single" w:color="000000" w:sz="4" w:space="0"/>
              <w:left w:val="nil"/>
              <w:bottom w:val="nil"/>
              <w:right w:val="nil"/>
            </w:tcBorders>
            <w:shd w:val="clear" w:color="auto" w:fill="FFFFFF"/>
          </w:tcPr>
          <w:p w14:paraId="722640E5">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47.93</w:t>
            </w:r>
          </w:p>
        </w:tc>
        <w:tc>
          <w:tcPr>
            <w:tcW w:w="1420" w:type="dxa"/>
            <w:tcBorders>
              <w:top w:val="single" w:color="000000" w:sz="4" w:space="0"/>
              <w:left w:val="nil"/>
              <w:bottom w:val="nil"/>
              <w:right w:val="nil"/>
            </w:tcBorders>
            <w:shd w:val="clear" w:color="auto" w:fill="FFFFFF"/>
          </w:tcPr>
          <w:p w14:paraId="5655163C">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47.71</w:t>
            </w:r>
          </w:p>
        </w:tc>
        <w:tc>
          <w:tcPr>
            <w:tcW w:w="1421" w:type="dxa"/>
            <w:tcBorders>
              <w:top w:val="single" w:color="000000" w:sz="4" w:space="0"/>
              <w:left w:val="nil"/>
              <w:bottom w:val="nil"/>
              <w:right w:val="nil"/>
            </w:tcBorders>
            <w:shd w:val="clear" w:color="auto" w:fill="FFFFFF"/>
          </w:tcPr>
          <w:p w14:paraId="457AC8F1">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51.59</w:t>
            </w:r>
          </w:p>
        </w:tc>
        <w:tc>
          <w:tcPr>
            <w:tcW w:w="1306" w:type="dxa"/>
            <w:tcBorders>
              <w:top w:val="single" w:color="000000" w:sz="4" w:space="0"/>
              <w:left w:val="nil"/>
              <w:bottom w:val="nil"/>
              <w:right w:val="nil"/>
            </w:tcBorders>
            <w:shd w:val="clear" w:color="auto" w:fill="FFFFFF"/>
          </w:tcPr>
          <w:p w14:paraId="68CD93B7">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54.35</w:t>
            </w:r>
          </w:p>
        </w:tc>
      </w:tr>
      <w:tr w14:paraId="65CE3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1" w:type="dxa"/>
            <w:tcBorders>
              <w:top w:val="nil"/>
              <w:left w:val="nil"/>
              <w:bottom w:val="nil"/>
              <w:right w:val="nil"/>
            </w:tcBorders>
            <w:shd w:val="clear" w:color="auto" w:fill="FFFFFF"/>
          </w:tcPr>
          <w:p w14:paraId="72FFB68F">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32</w:t>
            </w:r>
          </w:p>
        </w:tc>
        <w:tc>
          <w:tcPr>
            <w:tcW w:w="1420" w:type="dxa"/>
            <w:tcBorders>
              <w:top w:val="nil"/>
              <w:left w:val="nil"/>
              <w:bottom w:val="nil"/>
              <w:right w:val="nil"/>
            </w:tcBorders>
            <w:shd w:val="clear" w:color="auto" w:fill="FFFFFF"/>
          </w:tcPr>
          <w:p w14:paraId="0F62DCC5">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50</w:t>
            </w:r>
          </w:p>
        </w:tc>
        <w:tc>
          <w:tcPr>
            <w:tcW w:w="1420" w:type="dxa"/>
            <w:tcBorders>
              <w:top w:val="nil"/>
              <w:left w:val="nil"/>
              <w:bottom w:val="nil"/>
              <w:right w:val="nil"/>
            </w:tcBorders>
            <w:shd w:val="clear" w:color="auto" w:fill="FFFFFF"/>
          </w:tcPr>
          <w:p w14:paraId="521A2751">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98.58</w:t>
            </w:r>
          </w:p>
        </w:tc>
        <w:tc>
          <w:tcPr>
            <w:tcW w:w="1420" w:type="dxa"/>
            <w:tcBorders>
              <w:top w:val="nil"/>
              <w:left w:val="nil"/>
              <w:bottom w:val="nil"/>
              <w:right w:val="nil"/>
            </w:tcBorders>
            <w:shd w:val="clear" w:color="auto" w:fill="FFFFFF"/>
          </w:tcPr>
          <w:p w14:paraId="741D7E45">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96.40</w:t>
            </w:r>
          </w:p>
        </w:tc>
        <w:tc>
          <w:tcPr>
            <w:tcW w:w="1421" w:type="dxa"/>
            <w:tcBorders>
              <w:top w:val="nil"/>
              <w:left w:val="nil"/>
              <w:bottom w:val="nil"/>
              <w:right w:val="nil"/>
            </w:tcBorders>
            <w:shd w:val="clear" w:color="auto" w:fill="FFFFFF"/>
          </w:tcPr>
          <w:p w14:paraId="1EB05D5E">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107.97</w:t>
            </w:r>
          </w:p>
        </w:tc>
        <w:tc>
          <w:tcPr>
            <w:tcW w:w="1306" w:type="dxa"/>
            <w:tcBorders>
              <w:top w:val="nil"/>
              <w:left w:val="nil"/>
              <w:bottom w:val="nil"/>
              <w:right w:val="nil"/>
            </w:tcBorders>
            <w:shd w:val="clear" w:color="auto" w:fill="FFFFFF"/>
          </w:tcPr>
          <w:p w14:paraId="0B45926D">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113.45</w:t>
            </w:r>
          </w:p>
        </w:tc>
      </w:tr>
      <w:tr w14:paraId="457B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31" w:type="dxa"/>
            <w:tcBorders>
              <w:top w:val="nil"/>
              <w:left w:val="nil"/>
              <w:bottom w:val="nil"/>
              <w:right w:val="nil"/>
            </w:tcBorders>
            <w:shd w:val="clear" w:color="auto" w:fill="FFFFFF"/>
          </w:tcPr>
          <w:p w14:paraId="377F4278">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64</w:t>
            </w:r>
          </w:p>
        </w:tc>
        <w:tc>
          <w:tcPr>
            <w:tcW w:w="1420" w:type="dxa"/>
            <w:tcBorders>
              <w:top w:val="nil"/>
              <w:left w:val="nil"/>
              <w:bottom w:val="nil"/>
              <w:right w:val="nil"/>
            </w:tcBorders>
            <w:shd w:val="clear" w:color="auto" w:fill="FFFFFF"/>
          </w:tcPr>
          <w:p w14:paraId="5512EFCB">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50</w:t>
            </w:r>
          </w:p>
        </w:tc>
        <w:tc>
          <w:tcPr>
            <w:tcW w:w="1420" w:type="dxa"/>
            <w:tcBorders>
              <w:top w:val="nil"/>
              <w:left w:val="nil"/>
              <w:bottom w:val="nil"/>
              <w:right w:val="nil"/>
            </w:tcBorders>
            <w:shd w:val="clear" w:color="auto" w:fill="FFFFFF"/>
          </w:tcPr>
          <w:p w14:paraId="1847CD13">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205.16</w:t>
            </w:r>
          </w:p>
        </w:tc>
        <w:tc>
          <w:tcPr>
            <w:tcW w:w="1420" w:type="dxa"/>
            <w:tcBorders>
              <w:top w:val="nil"/>
              <w:left w:val="nil"/>
              <w:bottom w:val="nil"/>
              <w:right w:val="nil"/>
            </w:tcBorders>
            <w:shd w:val="clear" w:color="auto" w:fill="FFFFFF"/>
          </w:tcPr>
          <w:p w14:paraId="2C96ADC2">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202.26</w:t>
            </w:r>
          </w:p>
        </w:tc>
        <w:tc>
          <w:tcPr>
            <w:tcW w:w="1421" w:type="dxa"/>
            <w:tcBorders>
              <w:top w:val="nil"/>
              <w:left w:val="nil"/>
              <w:bottom w:val="nil"/>
              <w:right w:val="nil"/>
            </w:tcBorders>
            <w:shd w:val="clear" w:color="auto" w:fill="FFFFFF"/>
          </w:tcPr>
          <w:p w14:paraId="004B7CAB">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222.83</w:t>
            </w:r>
          </w:p>
        </w:tc>
        <w:tc>
          <w:tcPr>
            <w:tcW w:w="1306" w:type="dxa"/>
            <w:tcBorders>
              <w:top w:val="nil"/>
              <w:left w:val="nil"/>
              <w:bottom w:val="nil"/>
              <w:right w:val="nil"/>
            </w:tcBorders>
            <w:shd w:val="clear" w:color="auto" w:fill="FFFFFF"/>
          </w:tcPr>
          <w:p w14:paraId="0E00D586">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230.25</w:t>
            </w:r>
          </w:p>
        </w:tc>
      </w:tr>
      <w:tr w14:paraId="1C15D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31" w:type="dxa"/>
            <w:tcBorders>
              <w:top w:val="nil"/>
              <w:left w:val="nil"/>
              <w:bottom w:val="single" w:color="000000" w:sz="12" w:space="0"/>
              <w:right w:val="nil"/>
            </w:tcBorders>
            <w:shd w:val="clear" w:color="auto" w:fill="FFFFFF"/>
          </w:tcPr>
          <w:p w14:paraId="3920B815">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100</w:t>
            </w:r>
          </w:p>
        </w:tc>
        <w:tc>
          <w:tcPr>
            <w:tcW w:w="1420" w:type="dxa"/>
            <w:tcBorders>
              <w:top w:val="nil"/>
              <w:left w:val="nil"/>
              <w:bottom w:val="single" w:color="000000" w:sz="12" w:space="0"/>
              <w:right w:val="nil"/>
            </w:tcBorders>
            <w:shd w:val="clear" w:color="auto" w:fill="FFFFFF"/>
          </w:tcPr>
          <w:p w14:paraId="45757216">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50</w:t>
            </w:r>
          </w:p>
        </w:tc>
        <w:tc>
          <w:tcPr>
            <w:tcW w:w="1420" w:type="dxa"/>
            <w:tcBorders>
              <w:top w:val="nil"/>
              <w:left w:val="nil"/>
              <w:bottom w:val="single" w:color="000000" w:sz="12" w:space="0"/>
              <w:right w:val="nil"/>
            </w:tcBorders>
            <w:shd w:val="clear" w:color="auto" w:fill="FFFFFF"/>
          </w:tcPr>
          <w:p w14:paraId="4F8A0D3C">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298.42</w:t>
            </w:r>
          </w:p>
        </w:tc>
        <w:tc>
          <w:tcPr>
            <w:tcW w:w="1420" w:type="dxa"/>
            <w:tcBorders>
              <w:top w:val="nil"/>
              <w:left w:val="nil"/>
              <w:bottom w:val="single" w:color="000000" w:sz="12" w:space="0"/>
              <w:right w:val="nil"/>
            </w:tcBorders>
            <w:shd w:val="clear" w:color="auto" w:fill="FFFFFF"/>
          </w:tcPr>
          <w:p w14:paraId="31F3527D">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295.20</w:t>
            </w:r>
          </w:p>
        </w:tc>
        <w:tc>
          <w:tcPr>
            <w:tcW w:w="1421" w:type="dxa"/>
            <w:tcBorders>
              <w:top w:val="nil"/>
              <w:left w:val="nil"/>
              <w:bottom w:val="single" w:color="000000" w:sz="12" w:space="0"/>
              <w:right w:val="nil"/>
            </w:tcBorders>
            <w:shd w:val="clear" w:color="auto" w:fill="FFFFFF"/>
          </w:tcPr>
          <w:p w14:paraId="07122623">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321.06</w:t>
            </w:r>
          </w:p>
        </w:tc>
        <w:tc>
          <w:tcPr>
            <w:tcW w:w="1306" w:type="dxa"/>
            <w:tcBorders>
              <w:top w:val="nil"/>
              <w:left w:val="nil"/>
              <w:bottom w:val="single" w:color="000000" w:sz="12" w:space="0"/>
              <w:right w:val="nil"/>
            </w:tcBorders>
            <w:shd w:val="clear" w:color="auto" w:fill="FFFFFF"/>
          </w:tcPr>
          <w:p w14:paraId="50C2DD26">
            <w:pPr>
              <w:adjustRightInd w:val="0"/>
              <w:snapToGrid w:val="0"/>
              <w:spacing w:line="228" w:lineRule="auto"/>
              <w:rPr>
                <w:rFonts w:hint="default" w:ascii="Times New Roman" w:hAnsi="Times New Roman" w:cs="Times New Roman" w:eastAsiaTheme="minorEastAsia"/>
                <w:b w:val="0"/>
                <w:color w:val="000000"/>
                <w:sz w:val="16"/>
                <w:szCs w:val="16"/>
                <w:vertAlign w:val="baseline"/>
                <w:lang w:val="en-US" w:eastAsia="zh-CN"/>
              </w:rPr>
            </w:pPr>
            <w:r>
              <w:rPr>
                <w:rFonts w:hint="eastAsia" w:ascii="Times New Roman" w:hAnsi="Times New Roman" w:cs="Times New Roman"/>
                <w:b w:val="0"/>
                <w:color w:val="000000"/>
                <w:sz w:val="16"/>
                <w:szCs w:val="16"/>
                <w:vertAlign w:val="baseline"/>
                <w:lang w:val="en-US" w:eastAsia="zh-CN"/>
              </w:rPr>
              <w:t>340.23</w:t>
            </w:r>
          </w:p>
        </w:tc>
      </w:tr>
    </w:tbl>
    <w:p w14:paraId="26844EF6">
      <w:pPr>
        <w:adjustRightInd w:val="0"/>
        <w:snapToGrid w:val="0"/>
        <w:spacing w:line="228" w:lineRule="auto"/>
        <w:jc w:val="center"/>
        <w:rPr>
          <w:rFonts w:hint="eastAsia" w:ascii="Times New Roman" w:hAnsi="Times New Roman" w:cs="Times New Roman" w:eastAsiaTheme="minorEastAsia"/>
          <w:sz w:val="16"/>
          <w:szCs w:val="16"/>
          <w:lang w:eastAsia="zh-CN"/>
        </w:rPr>
      </w:pPr>
    </w:p>
    <w:p w14:paraId="5A84AA86">
      <w:pPr>
        <w:adjustRightInd w:val="0"/>
        <w:snapToGrid w:val="0"/>
        <w:spacing w:line="228" w:lineRule="auto"/>
        <w:jc w:val="center"/>
        <w:rPr>
          <w:rFonts w:hint="eastAsia" w:ascii="Times New Roman" w:hAnsi="Times New Roman" w:cs="Times New Roman" w:eastAsiaTheme="minorEastAsia"/>
          <w:sz w:val="16"/>
          <w:szCs w:val="16"/>
          <w:lang w:eastAsia="zh-CN"/>
        </w:rPr>
      </w:pPr>
      <w:r>
        <w:rPr>
          <w:rFonts w:hint="eastAsia" w:ascii="Times New Roman" w:hAnsi="Times New Roman" w:cs="Times New Roman" w:eastAsiaTheme="minorEastAsia"/>
          <w:sz w:val="16"/>
          <w:szCs w:val="16"/>
          <w:lang w:eastAsia="zh-CN"/>
        </w:rPr>
        <w:drawing>
          <wp:inline distT="0" distB="0" distL="114300" distR="114300">
            <wp:extent cx="4077335" cy="2432050"/>
            <wp:effectExtent l="0" t="0" r="0" b="0"/>
            <wp:docPr id="6" name="图片 6" descr="tick_latency_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ick_latency_scaling"/>
                    <pic:cNvPicPr>
                      <a:picLocks noChangeAspect="1"/>
                    </pic:cNvPicPr>
                  </pic:nvPicPr>
                  <pic:blipFill>
                    <a:blip r:embed="rId10"/>
                    <a:srcRect t="5362"/>
                    <a:stretch>
                      <a:fillRect/>
                    </a:stretch>
                  </pic:blipFill>
                  <pic:spPr>
                    <a:xfrm>
                      <a:off x="0" y="0"/>
                      <a:ext cx="4077335" cy="2432050"/>
                    </a:xfrm>
                    <a:prstGeom prst="rect">
                      <a:avLst/>
                    </a:prstGeom>
                  </pic:spPr>
                </pic:pic>
              </a:graphicData>
            </a:graphic>
          </wp:inline>
        </w:drawing>
      </w:r>
    </w:p>
    <w:p w14:paraId="688787DC">
      <w:pPr>
        <w:adjustRightInd w:val="0"/>
        <w:snapToGrid w:val="0"/>
        <w:spacing w:line="228" w:lineRule="auto"/>
        <w:jc w:val="center"/>
        <w:rPr>
          <w:rFonts w:hint="eastAsia" w:ascii="Times New Roman" w:hAnsi="Times New Roman" w:cs="Times New Roman"/>
          <w:sz w:val="16"/>
          <w:szCs w:val="16"/>
        </w:rPr>
      </w:pPr>
      <w:r>
        <w:rPr>
          <w:rFonts w:hint="eastAsia" w:ascii="Times New Roman" w:hAnsi="Times New Roman" w:cs="Times New Roman"/>
          <w:b/>
          <w:bCs/>
          <w:sz w:val="16"/>
          <w:szCs w:val="16"/>
        </w:rPr>
        <w:t xml:space="preserve">Fig. </w:t>
      </w:r>
      <w:r>
        <w:rPr>
          <w:rFonts w:hint="eastAsia" w:ascii="Times New Roman" w:hAnsi="Times New Roman" w:cs="Times New Roman"/>
          <w:b/>
          <w:bCs/>
          <w:sz w:val="16"/>
          <w:szCs w:val="16"/>
          <w:lang w:val="en-US" w:eastAsia="zh-CN"/>
        </w:rPr>
        <w:t>6</w:t>
      </w:r>
      <w:r>
        <w:rPr>
          <w:rFonts w:hint="eastAsia" w:ascii="Times New Roman" w:hAnsi="Times New Roman" w:cs="Times New Roman"/>
          <w:b/>
          <w:bCs/>
          <w:sz w:val="16"/>
          <w:szCs w:val="16"/>
        </w:rPr>
        <w:t>.</w:t>
      </w:r>
      <w:r>
        <w:rPr>
          <w:rFonts w:hint="eastAsia" w:ascii="Times New Roman" w:hAnsi="Times New Roman" w:cs="Times New Roman"/>
          <w:sz w:val="16"/>
          <w:szCs w:val="16"/>
        </w:rPr>
        <w:t xml:space="preserve"> Tick latency scaling across agent counts.</w:t>
      </w:r>
    </w:p>
    <w:p w14:paraId="51D005ED">
      <w:pPr>
        <w:adjustRightInd w:val="0"/>
        <w:snapToGrid w:val="0"/>
        <w:spacing w:line="228" w:lineRule="auto"/>
        <w:rPr>
          <w:rFonts w:ascii="Times New Roman" w:hAnsi="Times New Roman" w:cs="Times New Roman"/>
          <w:b/>
          <w:sz w:val="16"/>
          <w:szCs w:val="16"/>
        </w:rPr>
      </w:pPr>
      <w:r>
        <w:rPr>
          <w:rFonts w:ascii="Times New Roman" w:hAnsi="Times New Roman" w:cs="Times New Roman"/>
          <w:sz w:val="20"/>
          <w:szCs w:val="20"/>
        </w:rPr>
        <w:t>The script “experiments/run_availability_probe.py” performs repeated probing on “/openapi.json”, “/api/simulation/status”, and “/api/simulation/diagnostics”. In the current 60-second validation run, all 29976 endpoint probes succeeded. This result should be explicitly reported as sustained endpoint availability within the 60-second probe w</w:t>
      </w:r>
      <w:bookmarkStart w:id="7" w:name="_GoBack"/>
      <w:bookmarkEnd w:id="7"/>
      <w:r>
        <w:rPr>
          <w:rFonts w:ascii="Times New Roman" w:hAnsi="Times New Roman" w:cs="Times New Roman"/>
          <w:sz w:val="20"/>
          <w:szCs w:val="20"/>
        </w:rPr>
        <w:t>indow, rather than as a substitute for long-term production monitoring.</w:t>
      </w:r>
    </w:p>
    <w:p w14:paraId="015B649E">
      <w:pPr>
        <w:adjustRightInd w:val="0"/>
        <w:snapToGrid w:val="0"/>
        <w:spacing w:line="228" w:lineRule="auto"/>
        <w:jc w:val="left"/>
        <w:rPr>
          <w:rFonts w:hint="eastAsia" w:ascii="Times New Roman" w:hAnsi="Times New Roman" w:cs="Times New Roman" w:eastAsiaTheme="minorEastAsia"/>
          <w:b/>
          <w:sz w:val="16"/>
          <w:szCs w:val="16"/>
          <w:lang w:val="en-US" w:eastAsia="zh-CN"/>
        </w:rPr>
      </w:pPr>
      <w:r>
        <w:rPr>
          <w:rFonts w:ascii="Times New Roman" w:hAnsi="Times New Roman" w:cs="Times New Roman"/>
          <w:b/>
          <w:sz w:val="16"/>
          <w:szCs w:val="16"/>
        </w:rPr>
        <w:t xml:space="preserve">Table </w:t>
      </w:r>
      <w:r>
        <w:rPr>
          <w:rFonts w:hint="eastAsia" w:ascii="Times New Roman" w:hAnsi="Times New Roman" w:cs="Times New Roman"/>
          <w:b/>
          <w:sz w:val="16"/>
          <w:szCs w:val="16"/>
          <w:lang w:val="en-US" w:eastAsia="zh-CN"/>
        </w:rPr>
        <w:t>6</w:t>
      </w:r>
    </w:p>
    <w:p w14:paraId="34802C64">
      <w:pPr>
        <w:adjustRightInd w:val="0"/>
        <w:snapToGrid w:val="0"/>
        <w:spacing w:line="228" w:lineRule="auto"/>
        <w:jc w:val="left"/>
        <w:rPr>
          <w:rFonts w:ascii="Times New Roman" w:hAnsi="Times New Roman" w:cs="Times New Roman"/>
          <w:b w:val="0"/>
          <w:bCs/>
          <w:sz w:val="16"/>
          <w:szCs w:val="16"/>
        </w:rPr>
      </w:pPr>
      <w:r>
        <w:rPr>
          <w:rFonts w:ascii="Times New Roman" w:hAnsi="Times New Roman" w:cs="Times New Roman"/>
          <w:b w:val="0"/>
          <w:bCs/>
          <w:sz w:val="16"/>
          <w:szCs w:val="16"/>
        </w:rPr>
        <w:t xml:space="preserve">Summary of </w:t>
      </w:r>
      <w:r>
        <w:rPr>
          <w:rFonts w:hint="eastAsia" w:ascii="Times New Roman" w:hAnsi="Times New Roman" w:cs="Times New Roman"/>
          <w:b w:val="0"/>
          <w:bCs/>
          <w:sz w:val="16"/>
          <w:szCs w:val="16"/>
          <w:lang w:val="en-US" w:eastAsia="zh-CN"/>
        </w:rPr>
        <w:t>c</w:t>
      </w:r>
      <w:r>
        <w:rPr>
          <w:rFonts w:ascii="Times New Roman" w:hAnsi="Times New Roman" w:cs="Times New Roman"/>
          <w:b w:val="0"/>
          <w:bCs/>
          <w:sz w:val="16"/>
          <w:szCs w:val="16"/>
        </w:rPr>
        <w:t xml:space="preserve">urrent </w:t>
      </w:r>
      <w:r>
        <w:rPr>
          <w:rFonts w:hint="eastAsia" w:ascii="Times New Roman" w:hAnsi="Times New Roman" w:cs="Times New Roman"/>
          <w:b w:val="0"/>
          <w:bCs/>
          <w:sz w:val="16"/>
          <w:szCs w:val="16"/>
          <w:lang w:val="en-US" w:eastAsia="zh-CN"/>
        </w:rPr>
        <w:t>r</w:t>
      </w:r>
      <w:r>
        <w:rPr>
          <w:rFonts w:ascii="Times New Roman" w:hAnsi="Times New Roman" w:cs="Times New Roman"/>
          <w:b w:val="0"/>
          <w:bCs/>
          <w:sz w:val="16"/>
          <w:szCs w:val="16"/>
        </w:rPr>
        <w:t xml:space="preserve">eproducible </w:t>
      </w:r>
      <w:r>
        <w:rPr>
          <w:rFonts w:hint="eastAsia" w:ascii="Times New Roman" w:hAnsi="Times New Roman" w:cs="Times New Roman"/>
          <w:b w:val="0"/>
          <w:bCs/>
          <w:sz w:val="16"/>
          <w:szCs w:val="16"/>
          <w:lang w:val="en-US" w:eastAsia="zh-CN"/>
        </w:rPr>
        <w:t>v</w:t>
      </w:r>
      <w:r>
        <w:rPr>
          <w:rFonts w:ascii="Times New Roman" w:hAnsi="Times New Roman" w:cs="Times New Roman"/>
          <w:b w:val="0"/>
          <w:bCs/>
          <w:sz w:val="16"/>
          <w:szCs w:val="16"/>
        </w:rPr>
        <w:t xml:space="preserve">alidation </w:t>
      </w:r>
      <w:r>
        <w:rPr>
          <w:rFonts w:hint="eastAsia" w:ascii="Times New Roman" w:hAnsi="Times New Roman" w:cs="Times New Roman"/>
          <w:b w:val="0"/>
          <w:bCs/>
          <w:sz w:val="16"/>
          <w:szCs w:val="16"/>
          <w:lang w:val="en-US" w:eastAsia="zh-CN"/>
        </w:rPr>
        <w:t>r</w:t>
      </w:r>
      <w:r>
        <w:rPr>
          <w:rFonts w:ascii="Times New Roman" w:hAnsi="Times New Roman" w:cs="Times New Roman"/>
          <w:b w:val="0"/>
          <w:bCs/>
          <w:sz w:val="16"/>
          <w:szCs w:val="16"/>
        </w:rPr>
        <w:t>esults</w:t>
      </w:r>
    </w:p>
    <w:tbl>
      <w:tblPr>
        <w:tblStyle w:val="8"/>
        <w:tblW w:w="0" w:type="auto"/>
        <w:tblInd w:w="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1"/>
        <w:gridCol w:w="1200"/>
        <w:gridCol w:w="3738"/>
      </w:tblGrid>
      <w:tr w14:paraId="04809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91" w:type="dxa"/>
            <w:tcBorders>
              <w:top w:val="single" w:color="auto" w:sz="4" w:space="0"/>
              <w:left w:val="nil"/>
              <w:bottom w:val="single" w:color="auto" w:sz="4" w:space="0"/>
              <w:right w:val="nil"/>
            </w:tcBorders>
          </w:tcPr>
          <w:p w14:paraId="3433C342">
            <w:pPr>
              <w:adjustRightInd w:val="0"/>
              <w:snapToGrid w:val="0"/>
              <w:spacing w:line="228" w:lineRule="auto"/>
              <w:rPr>
                <w:rFonts w:ascii="Times New Roman" w:hAnsi="Times New Roman" w:cs="Times New Roman"/>
                <w:b/>
                <w:sz w:val="16"/>
                <w:szCs w:val="16"/>
              </w:rPr>
            </w:pPr>
            <w:r>
              <w:rPr>
                <w:rFonts w:ascii="Times New Roman" w:hAnsi="Times New Roman" w:cs="Times New Roman"/>
                <w:b/>
                <w:sz w:val="16"/>
                <w:szCs w:val="16"/>
              </w:rPr>
              <w:t>Metric</w:t>
            </w:r>
          </w:p>
        </w:tc>
        <w:tc>
          <w:tcPr>
            <w:tcW w:w="1200" w:type="dxa"/>
            <w:tcBorders>
              <w:top w:val="single" w:color="auto" w:sz="4" w:space="0"/>
              <w:left w:val="nil"/>
              <w:bottom w:val="single" w:color="auto" w:sz="4" w:space="0"/>
              <w:right w:val="nil"/>
            </w:tcBorders>
          </w:tcPr>
          <w:p w14:paraId="40D68707">
            <w:pPr>
              <w:adjustRightInd w:val="0"/>
              <w:snapToGrid w:val="0"/>
              <w:spacing w:line="228" w:lineRule="auto"/>
              <w:rPr>
                <w:rFonts w:ascii="Times New Roman" w:hAnsi="Times New Roman" w:cs="Times New Roman"/>
                <w:b/>
                <w:sz w:val="16"/>
                <w:szCs w:val="16"/>
              </w:rPr>
            </w:pPr>
            <w:r>
              <w:rPr>
                <w:rFonts w:ascii="Times New Roman" w:hAnsi="Times New Roman" w:cs="Times New Roman"/>
                <w:b/>
                <w:sz w:val="16"/>
                <w:szCs w:val="16"/>
              </w:rPr>
              <w:t>Result</w:t>
            </w:r>
          </w:p>
        </w:tc>
        <w:tc>
          <w:tcPr>
            <w:tcW w:w="3738" w:type="dxa"/>
            <w:tcBorders>
              <w:top w:val="single" w:color="auto" w:sz="4" w:space="0"/>
              <w:left w:val="nil"/>
              <w:bottom w:val="single" w:color="auto" w:sz="4" w:space="0"/>
              <w:right w:val="nil"/>
            </w:tcBorders>
          </w:tcPr>
          <w:p w14:paraId="0106FF66">
            <w:pPr>
              <w:adjustRightInd w:val="0"/>
              <w:snapToGrid w:val="0"/>
              <w:spacing w:line="228" w:lineRule="auto"/>
              <w:rPr>
                <w:rFonts w:ascii="Times New Roman" w:hAnsi="Times New Roman" w:cs="Times New Roman"/>
                <w:b/>
                <w:sz w:val="16"/>
                <w:szCs w:val="16"/>
              </w:rPr>
            </w:pPr>
            <w:r>
              <w:rPr>
                <w:rFonts w:ascii="Times New Roman" w:hAnsi="Times New Roman" w:cs="Times New Roman"/>
                <w:b/>
                <w:sz w:val="16"/>
                <w:szCs w:val="16"/>
              </w:rPr>
              <w:t>Supported Claim</w:t>
            </w:r>
          </w:p>
        </w:tc>
      </w:tr>
      <w:tr w14:paraId="57B1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91" w:type="dxa"/>
            <w:tcBorders>
              <w:top w:val="single" w:color="auto" w:sz="4" w:space="0"/>
              <w:left w:val="nil"/>
              <w:bottom w:val="nil"/>
              <w:right w:val="nil"/>
            </w:tcBorders>
            <w:vAlign w:val="center"/>
          </w:tcPr>
          <w:p w14:paraId="540AC660">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MBTI Behavioral Consistency Rate</w:t>
            </w:r>
          </w:p>
        </w:tc>
        <w:tc>
          <w:tcPr>
            <w:tcW w:w="1200" w:type="dxa"/>
            <w:tcBorders>
              <w:top w:val="single" w:color="auto" w:sz="4" w:space="0"/>
              <w:left w:val="nil"/>
              <w:bottom w:val="nil"/>
              <w:right w:val="nil"/>
            </w:tcBorders>
            <w:vAlign w:val="center"/>
          </w:tcPr>
          <w:p w14:paraId="3C6923EE">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98.0%</w:t>
            </w:r>
          </w:p>
        </w:tc>
        <w:tc>
          <w:tcPr>
            <w:tcW w:w="3738" w:type="dxa"/>
            <w:tcBorders>
              <w:top w:val="single" w:color="auto" w:sz="4" w:space="0"/>
              <w:left w:val="nil"/>
              <w:bottom w:val="nil"/>
              <w:right w:val="nil"/>
            </w:tcBorders>
            <w:vAlign w:val="center"/>
          </w:tcPr>
          <w:p w14:paraId="28942DE4">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Mapping produces stable, type-conditioned behavioral patterns</w:t>
            </w:r>
          </w:p>
        </w:tc>
      </w:tr>
      <w:tr w14:paraId="05F8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91" w:type="dxa"/>
            <w:tcBorders>
              <w:top w:val="nil"/>
              <w:left w:val="nil"/>
              <w:bottom w:val="nil"/>
              <w:right w:val="nil"/>
            </w:tcBorders>
            <w:vAlign w:val="center"/>
          </w:tcPr>
          <w:p w14:paraId="4635EAE7">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KL Divergence Reduction (MBTI Mapping Removed)</w:t>
            </w:r>
          </w:p>
        </w:tc>
        <w:tc>
          <w:tcPr>
            <w:tcW w:w="1200" w:type="dxa"/>
            <w:tcBorders>
              <w:top w:val="nil"/>
              <w:left w:val="nil"/>
              <w:bottom w:val="nil"/>
              <w:right w:val="nil"/>
            </w:tcBorders>
            <w:vAlign w:val="center"/>
          </w:tcPr>
          <w:p w14:paraId="1D8177D0">
            <w:pPr>
              <w:rPr>
                <w:rFonts w:hint="default" w:ascii="Times New Roman" w:hAnsi="Times New Roman" w:cs="Times New Roman"/>
                <w:sz w:val="16"/>
                <w:szCs w:val="16"/>
              </w:rPr>
            </w:pPr>
            <w:r>
              <w:rPr>
                <w:rFonts w:hint="default" w:ascii="Times New Roman" w:hAnsi="Times New Roman" w:cs="Times New Roman"/>
                <w:sz w:val="16"/>
                <w:szCs w:val="16"/>
              </w:rPr>
              <w:t>65.33%</w:t>
            </w:r>
          </w:p>
        </w:tc>
        <w:tc>
          <w:tcPr>
            <w:tcW w:w="3738" w:type="dxa"/>
            <w:tcBorders>
              <w:top w:val="nil"/>
              <w:left w:val="nil"/>
              <w:bottom w:val="nil"/>
              <w:right w:val="nil"/>
            </w:tcBorders>
            <w:vAlign w:val="center"/>
          </w:tcPr>
          <w:p w14:paraId="0ADE1C84">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MBTI mapping is the primary source of type differentiation</w:t>
            </w:r>
          </w:p>
        </w:tc>
      </w:tr>
      <w:tr w14:paraId="1A14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91" w:type="dxa"/>
            <w:tcBorders>
              <w:top w:val="nil"/>
              <w:left w:val="nil"/>
              <w:bottom w:val="nil"/>
              <w:right w:val="nil"/>
            </w:tcBorders>
            <w:vAlign w:val="center"/>
          </w:tcPr>
          <w:p w14:paraId="2DFA071E">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Shannon Entropy Reduction (Events Removed)</w:t>
            </w:r>
          </w:p>
        </w:tc>
        <w:tc>
          <w:tcPr>
            <w:tcW w:w="1200" w:type="dxa"/>
            <w:tcBorders>
              <w:top w:val="nil"/>
              <w:left w:val="nil"/>
              <w:bottom w:val="nil"/>
              <w:right w:val="nil"/>
            </w:tcBorders>
            <w:vAlign w:val="center"/>
          </w:tcPr>
          <w:p w14:paraId="6BEFE47C">
            <w:pPr>
              <w:rPr>
                <w:rFonts w:hint="default" w:ascii="Times New Roman" w:hAnsi="Times New Roman" w:cs="Times New Roman"/>
                <w:sz w:val="16"/>
                <w:szCs w:val="16"/>
              </w:rPr>
            </w:pPr>
            <w:r>
              <w:rPr>
                <w:rFonts w:hint="default" w:ascii="Times New Roman" w:hAnsi="Times New Roman" w:cs="Times New Roman"/>
                <w:sz w:val="16"/>
                <w:szCs w:val="16"/>
              </w:rPr>
              <w:t>1.78%</w:t>
            </w:r>
          </w:p>
        </w:tc>
        <w:tc>
          <w:tcPr>
            <w:tcW w:w="3738" w:type="dxa"/>
            <w:tcBorders>
              <w:top w:val="nil"/>
              <w:left w:val="nil"/>
              <w:bottom w:val="nil"/>
              <w:right w:val="nil"/>
            </w:tcBorders>
            <w:vAlign w:val="center"/>
          </w:tcPr>
          <w:p w14:paraId="6D1D5A09">
            <w:pPr>
              <w:rPr>
                <w:rFonts w:hint="default" w:ascii="Times New Roman" w:hAnsi="Times New Roman" w:cs="Times New Roman"/>
                <w:sz w:val="16"/>
                <w:szCs w:val="16"/>
              </w:rPr>
            </w:pPr>
            <w:r>
              <w:rPr>
                <w:rFonts w:hint="default" w:ascii="Times New Roman" w:hAnsi="Times New Roman" w:cs="Times New Roman"/>
                <w:sz w:val="16"/>
                <w:szCs w:val="16"/>
              </w:rPr>
              <w:t>Event mechanism contributes to behavioral diversity, though the effect remains limited under the current protocol</w:t>
            </w:r>
          </w:p>
        </w:tc>
      </w:tr>
      <w:tr w14:paraId="5E96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91" w:type="dxa"/>
            <w:tcBorders>
              <w:top w:val="nil"/>
              <w:left w:val="nil"/>
              <w:bottom w:val="nil"/>
              <w:right w:val="nil"/>
            </w:tcBorders>
            <w:vAlign w:val="center"/>
          </w:tcPr>
          <w:p w14:paraId="0D8A7866">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Average Tick Latency</w:t>
            </w:r>
          </w:p>
        </w:tc>
        <w:tc>
          <w:tcPr>
            <w:tcW w:w="1200" w:type="dxa"/>
            <w:tcBorders>
              <w:top w:val="nil"/>
              <w:left w:val="nil"/>
              <w:bottom w:val="nil"/>
              <w:right w:val="nil"/>
            </w:tcBorders>
            <w:vAlign w:val="center"/>
          </w:tcPr>
          <w:p w14:paraId="14399090">
            <w:pPr>
              <w:rPr>
                <w:rFonts w:hint="default" w:ascii="Times New Roman" w:hAnsi="Times New Roman" w:cs="Times New Roman"/>
                <w:sz w:val="16"/>
                <w:szCs w:val="16"/>
              </w:rPr>
            </w:pPr>
            <w:r>
              <w:rPr>
                <w:rFonts w:hint="default" w:ascii="Times New Roman" w:hAnsi="Times New Roman" w:cs="Times New Roman"/>
                <w:sz w:val="16"/>
                <w:szCs w:val="16"/>
              </w:rPr>
              <w:t>129.08 ms</w:t>
            </w:r>
          </w:p>
        </w:tc>
        <w:tc>
          <w:tcPr>
            <w:tcW w:w="3738" w:type="dxa"/>
            <w:tcBorders>
              <w:top w:val="nil"/>
              <w:left w:val="nil"/>
              <w:bottom w:val="nil"/>
              <w:right w:val="nil"/>
            </w:tcBorders>
            <w:vAlign w:val="center"/>
          </w:tcPr>
          <w:p w14:paraId="7F6B9DEE">
            <w:pPr>
              <w:rPr>
                <w:rFonts w:hint="default" w:ascii="Times New Roman" w:hAnsi="Times New Roman" w:cs="Times New Roman"/>
                <w:sz w:val="16"/>
                <w:szCs w:val="16"/>
              </w:rPr>
            </w:pPr>
            <w:r>
              <w:rPr>
                <w:rFonts w:hint="default" w:ascii="Times New Roman" w:hAnsi="Times New Roman" w:cs="Times New Roman"/>
                <w:sz w:val="16"/>
                <w:szCs w:val="16"/>
              </w:rPr>
              <w:t>System remains operational under benchmark load</w:t>
            </w:r>
          </w:p>
        </w:tc>
      </w:tr>
      <w:tr w14:paraId="7D7D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91" w:type="dxa"/>
            <w:tcBorders>
              <w:top w:val="nil"/>
              <w:left w:val="nil"/>
              <w:bottom w:val="nil"/>
              <w:right w:val="nil"/>
            </w:tcBorders>
            <w:vAlign w:val="center"/>
          </w:tcPr>
          <w:p w14:paraId="54A2C782">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Tick Latency Median</w:t>
            </w:r>
          </w:p>
        </w:tc>
        <w:tc>
          <w:tcPr>
            <w:tcW w:w="1200" w:type="dxa"/>
            <w:tcBorders>
              <w:top w:val="nil"/>
              <w:left w:val="nil"/>
              <w:bottom w:val="nil"/>
              <w:right w:val="nil"/>
            </w:tcBorders>
            <w:vAlign w:val="center"/>
          </w:tcPr>
          <w:p w14:paraId="03CCB32D">
            <w:pPr>
              <w:rPr>
                <w:rFonts w:hint="default" w:ascii="Times New Roman" w:hAnsi="Times New Roman" w:cs="Times New Roman"/>
                <w:sz w:val="16"/>
                <w:szCs w:val="16"/>
              </w:rPr>
            </w:pPr>
            <w:r>
              <w:rPr>
                <w:rFonts w:hint="default" w:ascii="Times New Roman" w:hAnsi="Times New Roman" w:cs="Times New Roman"/>
                <w:sz w:val="16"/>
                <w:szCs w:val="16"/>
              </w:rPr>
              <w:t>118.55 ms</w:t>
            </w:r>
          </w:p>
        </w:tc>
        <w:tc>
          <w:tcPr>
            <w:tcW w:w="3738" w:type="dxa"/>
            <w:tcBorders>
              <w:top w:val="nil"/>
              <w:left w:val="nil"/>
              <w:bottom w:val="nil"/>
              <w:right w:val="nil"/>
            </w:tcBorders>
            <w:vAlign w:val="center"/>
          </w:tcPr>
          <w:p w14:paraId="5F027CDE">
            <w:pPr>
              <w:rPr>
                <w:rFonts w:hint="default" w:ascii="Times New Roman" w:hAnsi="Times New Roman" w:cs="Times New Roman"/>
                <w:sz w:val="16"/>
                <w:szCs w:val="16"/>
              </w:rPr>
            </w:pPr>
            <w:r>
              <w:rPr>
                <w:rFonts w:hint="default" w:ascii="Times New Roman" w:hAnsi="Times New Roman" w:cs="Times New Roman"/>
                <w:sz w:val="16"/>
                <w:szCs w:val="16"/>
              </w:rPr>
              <w:t>Median tick latency remains stable in the tested environment</w:t>
            </w:r>
          </w:p>
        </w:tc>
      </w:tr>
      <w:tr w14:paraId="09A3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3391" w:type="dxa"/>
            <w:tcBorders>
              <w:top w:val="nil"/>
              <w:left w:val="nil"/>
              <w:bottom w:val="nil"/>
              <w:right w:val="nil"/>
            </w:tcBorders>
            <w:vAlign w:val="center"/>
          </w:tcPr>
          <w:p w14:paraId="494087A3">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Tick Latency p95</w:t>
            </w:r>
          </w:p>
        </w:tc>
        <w:tc>
          <w:tcPr>
            <w:tcW w:w="1200" w:type="dxa"/>
            <w:tcBorders>
              <w:top w:val="nil"/>
              <w:left w:val="nil"/>
              <w:bottom w:val="nil"/>
              <w:right w:val="nil"/>
            </w:tcBorders>
            <w:vAlign w:val="center"/>
          </w:tcPr>
          <w:p w14:paraId="4BA05ABF">
            <w:pPr>
              <w:rPr>
                <w:rFonts w:hint="default" w:ascii="Times New Roman" w:hAnsi="Times New Roman" w:cs="Times New Roman"/>
                <w:sz w:val="16"/>
                <w:szCs w:val="16"/>
              </w:rPr>
            </w:pPr>
            <w:r>
              <w:rPr>
                <w:rFonts w:hint="default" w:ascii="Times New Roman" w:hAnsi="Times New Roman" w:cs="Times New Roman"/>
                <w:sz w:val="16"/>
                <w:szCs w:val="16"/>
              </w:rPr>
              <w:t>160.18 ms</w:t>
            </w:r>
          </w:p>
        </w:tc>
        <w:tc>
          <w:tcPr>
            <w:tcW w:w="3738" w:type="dxa"/>
            <w:tcBorders>
              <w:top w:val="nil"/>
              <w:left w:val="nil"/>
              <w:bottom w:val="nil"/>
              <w:right w:val="nil"/>
            </w:tcBorders>
            <w:vAlign w:val="center"/>
          </w:tcPr>
          <w:p w14:paraId="61C625C1">
            <w:pPr>
              <w:rPr>
                <w:rFonts w:hint="default" w:ascii="Times New Roman" w:hAnsi="Times New Roman" w:cs="Times New Roman"/>
                <w:sz w:val="16"/>
                <w:szCs w:val="16"/>
              </w:rPr>
            </w:pPr>
            <w:r>
              <w:rPr>
                <w:rFonts w:hint="default" w:ascii="Times New Roman" w:hAnsi="Times New Roman" w:cs="Times New Roman"/>
                <w:sz w:val="16"/>
                <w:szCs w:val="16"/>
              </w:rPr>
              <w:t>Most ticks complete within a consistent upper range under the current benchmark setting</w:t>
            </w:r>
          </w:p>
        </w:tc>
      </w:tr>
      <w:tr w14:paraId="5FD3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3391" w:type="dxa"/>
            <w:tcBorders>
              <w:top w:val="nil"/>
              <w:left w:val="nil"/>
              <w:bottom w:val="single" w:color="auto" w:sz="4" w:space="0"/>
              <w:right w:val="nil"/>
            </w:tcBorders>
            <w:vAlign w:val="center"/>
          </w:tcPr>
          <w:p w14:paraId="58881D65">
            <w:pPr>
              <w:adjustRightInd w:val="0"/>
              <w:snapToGrid w:val="0"/>
              <w:spacing w:line="228" w:lineRule="auto"/>
              <w:jc w:val="left"/>
              <w:rPr>
                <w:rFonts w:hint="default" w:ascii="Times New Roman" w:hAnsi="Times New Roman" w:cs="Times New Roman"/>
                <w:sz w:val="16"/>
                <w:szCs w:val="16"/>
              </w:rPr>
            </w:pPr>
            <w:r>
              <w:rPr>
                <w:rFonts w:hint="default" w:ascii="Times New Roman" w:hAnsi="Times New Roman" w:cs="Times New Roman"/>
                <w:sz w:val="16"/>
                <w:szCs w:val="16"/>
              </w:rPr>
              <w:t>Endpoint Probe Success Rate</w:t>
            </w:r>
          </w:p>
        </w:tc>
        <w:tc>
          <w:tcPr>
            <w:tcW w:w="1200" w:type="dxa"/>
            <w:tcBorders>
              <w:top w:val="nil"/>
              <w:left w:val="nil"/>
              <w:bottom w:val="single" w:color="auto" w:sz="4" w:space="0"/>
              <w:right w:val="nil"/>
            </w:tcBorders>
            <w:vAlign w:val="center"/>
          </w:tcPr>
          <w:p w14:paraId="78DC84EE">
            <w:pPr>
              <w:rPr>
                <w:rFonts w:hint="default" w:ascii="Times New Roman" w:hAnsi="Times New Roman" w:cs="Times New Roman"/>
                <w:sz w:val="16"/>
                <w:szCs w:val="16"/>
              </w:rPr>
            </w:pPr>
            <w:r>
              <w:rPr>
                <w:rFonts w:hint="default" w:ascii="Times New Roman" w:hAnsi="Times New Roman" w:cs="Times New Roman"/>
                <w:sz w:val="16"/>
                <w:szCs w:val="16"/>
              </w:rPr>
              <w:t>29976/29976</w:t>
            </w:r>
          </w:p>
        </w:tc>
        <w:tc>
          <w:tcPr>
            <w:tcW w:w="3738" w:type="dxa"/>
            <w:tcBorders>
              <w:top w:val="nil"/>
              <w:left w:val="nil"/>
              <w:bottom w:val="single" w:color="auto" w:sz="4" w:space="0"/>
              <w:right w:val="nil"/>
            </w:tcBorders>
            <w:vAlign w:val="center"/>
          </w:tcPr>
          <w:p w14:paraId="3EE4851D">
            <w:pPr>
              <w:rPr>
                <w:rFonts w:hint="default" w:ascii="Times New Roman" w:hAnsi="Times New Roman" w:cs="Times New Roman"/>
                <w:sz w:val="16"/>
                <w:szCs w:val="16"/>
              </w:rPr>
            </w:pPr>
            <w:r>
              <w:rPr>
                <w:rFonts w:hint="default" w:ascii="Times New Roman" w:hAnsi="Times New Roman" w:cs="Times New Roman"/>
                <w:sz w:val="16"/>
                <w:szCs w:val="16"/>
              </w:rPr>
              <w:t>Endpoints remained available throughout the 60-second probe window</w:t>
            </w:r>
          </w:p>
        </w:tc>
      </w:tr>
    </w:tbl>
    <w:p w14:paraId="4F895560">
      <w:pPr>
        <w:adjustRightInd w:val="0"/>
        <w:snapToGrid w:val="0"/>
        <w:spacing w:line="228" w:lineRule="auto"/>
        <w:rPr>
          <w:rFonts w:ascii="Times New Roman" w:hAnsi="Times New Roman" w:cs="Times New Roman"/>
          <w:sz w:val="16"/>
          <w:szCs w:val="16"/>
        </w:rPr>
      </w:pPr>
    </w:p>
    <w:p w14:paraId="629D238F">
      <w:pPr>
        <w:adjustRightInd w:val="0"/>
        <w:snapToGrid w:val="0"/>
        <w:spacing w:before="120" w:after="120" w:line="228" w:lineRule="auto"/>
        <w:rPr>
          <w:rFonts w:ascii="Times New Roman" w:hAnsi="Times New Roman" w:cs="Times New Roman"/>
          <w:b/>
          <w:sz w:val="20"/>
          <w:szCs w:val="20"/>
        </w:rPr>
      </w:pPr>
      <w:r>
        <w:rPr>
          <w:rFonts w:hint="eastAsia" w:ascii="Times New Roman" w:hAnsi="Times New Roman" w:cs="Times New Roman"/>
          <w:b/>
          <w:sz w:val="20"/>
          <w:szCs w:val="20"/>
        </w:rPr>
        <w:t>5</w:t>
      </w:r>
      <w:r>
        <w:rPr>
          <w:rFonts w:ascii="Times New Roman" w:hAnsi="Times New Roman" w:cs="Times New Roman"/>
          <w:b/>
          <w:sz w:val="20"/>
          <w:szCs w:val="20"/>
        </w:rPr>
        <w:t xml:space="preserve">  Conclusion</w:t>
      </w:r>
      <w:r>
        <w:rPr>
          <w:rFonts w:hint="eastAsia" w:ascii="Times New Roman" w:hAnsi="Times New Roman" w:cs="Times New Roman"/>
          <w:b/>
          <w:sz w:val="20"/>
          <w:szCs w:val="20"/>
        </w:rPr>
        <w:t>s</w:t>
      </w:r>
    </w:p>
    <w:p w14:paraId="4169FD11">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This paper presented VirtualCompanySim, a multi-agent virtual company simulator whose core contribution is an explainable personality parameterization layer converting MBTI dimensions into inspectable action weights and multipliers. Reproducible experiments confirm that the mapping produces stable, type-conditioned behavioral patterns (98.0% consistency), and that removing it causes a 65.33% loss in behavioral distinctiveness.</w:t>
      </w:r>
    </w:p>
    <w:p w14:paraId="1A1E4008">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Several limitations should be noted. The event mechanism's contribution to behavioral diversity remains modest (1.78% entropy reduction) under the current ablation protocol. Tick latency benchmarks are environment-sensitive, and stricter cross-system comparison would benefit from a dedicated algorithm-only benchmark mode. Availability probing covers a 60-second local validation window and does not replace production monitoring.</w:t>
      </w:r>
    </w:p>
    <w:p w14:paraId="158B37FE">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Future work includes extending the parameterization layer to support Big Five and Holland personality models, conducting user studies with career education students to evaluate perceived realism, and developing a longer-duration stress testing protocol. The modular architecture is designed to accommodate these extensions without modifying the simulation core.</w:t>
      </w:r>
    </w:p>
    <w:p w14:paraId="18EFD0E2">
      <w:pPr>
        <w:adjustRightInd w:val="0"/>
        <w:snapToGrid w:val="0"/>
        <w:spacing w:line="228" w:lineRule="auto"/>
        <w:rPr>
          <w:rFonts w:ascii="Times New Roman" w:hAnsi="Times New Roman" w:cs="Times New Roman"/>
          <w:sz w:val="20"/>
          <w:szCs w:val="20"/>
        </w:rPr>
      </w:pPr>
    </w:p>
    <w:p w14:paraId="432D3E20">
      <w:pPr>
        <w:adjustRightInd w:val="0"/>
        <w:snapToGrid w:val="0"/>
        <w:spacing w:line="228" w:lineRule="auto"/>
        <w:rPr>
          <w:rFonts w:ascii="Times New Roman" w:hAnsi="Times New Roman" w:cs="Times New Roman"/>
          <w:b/>
          <w:sz w:val="20"/>
          <w:szCs w:val="20"/>
        </w:rPr>
      </w:pPr>
      <w:r>
        <w:rPr>
          <w:rFonts w:ascii="Times New Roman" w:hAnsi="Times New Roman" w:cs="Times New Roman"/>
          <w:b/>
          <w:sz w:val="20"/>
          <w:szCs w:val="20"/>
        </w:rPr>
        <w:t xml:space="preserve">CRediT </w:t>
      </w:r>
      <w:r>
        <w:rPr>
          <w:rFonts w:hint="eastAsia" w:ascii="Times New Roman" w:hAnsi="Times New Roman" w:cs="Times New Roman"/>
          <w:b/>
          <w:sz w:val="20"/>
          <w:szCs w:val="20"/>
          <w:lang w:val="en-US" w:eastAsia="zh-CN"/>
        </w:rPr>
        <w:t>a</w:t>
      </w:r>
      <w:r>
        <w:rPr>
          <w:rFonts w:ascii="Times New Roman" w:hAnsi="Times New Roman" w:cs="Times New Roman"/>
          <w:b/>
          <w:sz w:val="20"/>
          <w:szCs w:val="20"/>
        </w:rPr>
        <w:t>uthor</w:t>
      </w:r>
      <w:r>
        <w:rPr>
          <w:rFonts w:hint="eastAsia" w:ascii="Times New Roman" w:hAnsi="Times New Roman" w:cs="Times New Roman"/>
          <w:b/>
          <w:sz w:val="20"/>
          <w:szCs w:val="20"/>
          <w:lang w:val="en-US" w:eastAsia="zh-CN"/>
        </w:rPr>
        <w:t>ship</w:t>
      </w:r>
      <w:r>
        <w:rPr>
          <w:rFonts w:ascii="Times New Roman" w:hAnsi="Times New Roman" w:cs="Times New Roman"/>
          <w:b/>
          <w:sz w:val="20"/>
          <w:szCs w:val="20"/>
        </w:rPr>
        <w:t xml:space="preserve"> </w:t>
      </w:r>
      <w:r>
        <w:rPr>
          <w:rFonts w:hint="eastAsia" w:ascii="Times New Roman" w:hAnsi="Times New Roman" w:cs="Times New Roman"/>
          <w:b/>
          <w:sz w:val="20"/>
          <w:szCs w:val="20"/>
          <w:lang w:val="en-US" w:eastAsia="zh-CN"/>
        </w:rPr>
        <w:t>c</w:t>
      </w:r>
      <w:r>
        <w:rPr>
          <w:rFonts w:ascii="Times New Roman" w:hAnsi="Times New Roman" w:cs="Times New Roman"/>
          <w:b/>
          <w:sz w:val="20"/>
          <w:szCs w:val="20"/>
        </w:rPr>
        <w:t xml:space="preserve">ontribution </w:t>
      </w:r>
      <w:r>
        <w:rPr>
          <w:rFonts w:hint="eastAsia" w:ascii="Times New Roman" w:hAnsi="Times New Roman" w:cs="Times New Roman"/>
          <w:b/>
          <w:sz w:val="20"/>
          <w:szCs w:val="20"/>
          <w:lang w:val="en-US" w:eastAsia="zh-CN"/>
        </w:rPr>
        <w:t>s</w:t>
      </w:r>
      <w:r>
        <w:rPr>
          <w:rFonts w:ascii="Times New Roman" w:hAnsi="Times New Roman" w:cs="Times New Roman"/>
          <w:b/>
          <w:sz w:val="20"/>
          <w:szCs w:val="20"/>
        </w:rPr>
        <w:t>tatement</w:t>
      </w:r>
    </w:p>
    <w:p w14:paraId="5A8FCC30">
      <w:pPr>
        <w:adjustRightInd w:val="0"/>
        <w:snapToGrid w:val="0"/>
        <w:spacing w:line="228" w:lineRule="auto"/>
        <w:rPr>
          <w:rFonts w:ascii="Times New Roman" w:hAnsi="Times New Roman" w:cs="Times New Roman"/>
          <w:sz w:val="20"/>
          <w:szCs w:val="20"/>
        </w:rPr>
      </w:pPr>
      <w:r>
        <w:rPr>
          <w:rFonts w:ascii="Times New Roman" w:hAnsi="Times New Roman" w:cs="Times New Roman"/>
          <w:b/>
          <w:bCs/>
          <w:sz w:val="20"/>
          <w:szCs w:val="20"/>
        </w:rPr>
        <w:t>Zhuoyi WANG:</w:t>
      </w:r>
      <w:r>
        <w:rPr>
          <w:rFonts w:ascii="Times New Roman" w:hAnsi="Times New Roman" w:cs="Times New Roman"/>
          <w:sz w:val="20"/>
          <w:szCs w:val="20"/>
        </w:rPr>
        <w:t xml:space="preserve"> Writing—original draft, visualization, software development, methodology, formal analysis, data curation, conceptualization. </w:t>
      </w:r>
      <w:r>
        <w:rPr>
          <w:rFonts w:ascii="Times New Roman" w:hAnsi="Times New Roman" w:cs="Times New Roman"/>
          <w:b/>
          <w:bCs/>
          <w:sz w:val="20"/>
          <w:szCs w:val="20"/>
        </w:rPr>
        <w:t>Xushen LIN:</w:t>
      </w:r>
      <w:r>
        <w:rPr>
          <w:rFonts w:ascii="Times New Roman" w:hAnsi="Times New Roman" w:cs="Times New Roman"/>
          <w:sz w:val="20"/>
          <w:szCs w:val="20"/>
        </w:rPr>
        <w:t xml:space="preserve"> Software development, data curation, experimental validation, writing—review and editing.</w:t>
      </w:r>
      <w:r>
        <w:rPr>
          <w:rFonts w:hint="eastAsia" w:ascii="Times New Roman" w:hAnsi="Times New Roman" w:cs="Times New Roman"/>
          <w:sz w:val="20"/>
          <w:szCs w:val="20"/>
          <w:lang w:val="en-US" w:eastAsia="zh-CN"/>
        </w:rPr>
        <w:t xml:space="preserve"> </w:t>
      </w:r>
      <w:r>
        <w:rPr>
          <w:rFonts w:ascii="Times New Roman" w:hAnsi="Times New Roman" w:cs="Times New Roman"/>
          <w:b/>
          <w:bCs/>
          <w:sz w:val="20"/>
          <w:szCs w:val="20"/>
        </w:rPr>
        <w:t>Rui SUN:</w:t>
      </w:r>
      <w:r>
        <w:rPr>
          <w:rFonts w:ascii="Times New Roman" w:hAnsi="Times New Roman" w:cs="Times New Roman"/>
          <w:sz w:val="20"/>
          <w:szCs w:val="20"/>
        </w:rPr>
        <w:t xml:space="preserve"> Formal analysis, data curation, writing—review and editing. </w:t>
      </w:r>
      <w:r>
        <w:rPr>
          <w:rFonts w:ascii="Times New Roman" w:hAnsi="Times New Roman" w:cs="Times New Roman"/>
          <w:b/>
          <w:bCs/>
          <w:sz w:val="20"/>
          <w:szCs w:val="20"/>
        </w:rPr>
        <w:t>Tingjin WANG:</w:t>
      </w:r>
      <w:r>
        <w:rPr>
          <w:rFonts w:ascii="Times New Roman" w:hAnsi="Times New Roman" w:cs="Times New Roman"/>
          <w:sz w:val="20"/>
          <w:szCs w:val="20"/>
        </w:rPr>
        <w:t xml:space="preserve"> Visualization, software development, writing—review and editing.</w:t>
      </w:r>
    </w:p>
    <w:p w14:paraId="59992E52">
      <w:pPr>
        <w:adjustRightInd w:val="0"/>
        <w:snapToGrid w:val="0"/>
        <w:spacing w:line="228" w:lineRule="auto"/>
        <w:rPr>
          <w:rFonts w:ascii="Times New Roman" w:hAnsi="Times New Roman" w:cs="Times New Roman"/>
          <w:b/>
          <w:sz w:val="20"/>
          <w:szCs w:val="20"/>
        </w:rPr>
      </w:pPr>
      <w:r>
        <w:rPr>
          <w:rFonts w:ascii="Times New Roman" w:hAnsi="Times New Roman" w:cs="Times New Roman"/>
          <w:b/>
          <w:sz w:val="20"/>
          <w:szCs w:val="20"/>
        </w:rPr>
        <w:t xml:space="preserve">Declaration of </w:t>
      </w:r>
      <w:r>
        <w:rPr>
          <w:rFonts w:hint="eastAsia" w:ascii="Times New Roman" w:hAnsi="Times New Roman" w:cs="Times New Roman"/>
          <w:b/>
          <w:sz w:val="20"/>
          <w:szCs w:val="20"/>
          <w:lang w:val="en-US" w:eastAsia="zh-CN"/>
        </w:rPr>
        <w:t>c</w:t>
      </w:r>
      <w:r>
        <w:rPr>
          <w:rFonts w:ascii="Times New Roman" w:hAnsi="Times New Roman" w:cs="Times New Roman"/>
          <w:b/>
          <w:sz w:val="20"/>
          <w:szCs w:val="20"/>
        </w:rPr>
        <w:t xml:space="preserve">ompeting </w:t>
      </w:r>
      <w:r>
        <w:rPr>
          <w:rFonts w:hint="eastAsia" w:ascii="Times New Roman" w:hAnsi="Times New Roman" w:cs="Times New Roman"/>
          <w:b/>
          <w:sz w:val="20"/>
          <w:szCs w:val="20"/>
          <w:lang w:val="en-US" w:eastAsia="zh-CN"/>
        </w:rPr>
        <w:t>i</w:t>
      </w:r>
      <w:r>
        <w:rPr>
          <w:rFonts w:ascii="Times New Roman" w:hAnsi="Times New Roman" w:cs="Times New Roman"/>
          <w:b/>
          <w:sz w:val="20"/>
          <w:szCs w:val="20"/>
        </w:rPr>
        <w:t>nterest</w:t>
      </w:r>
    </w:p>
    <w:p w14:paraId="6492D44E">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The authors declare that they have no known competing financial interests or personal relationships that could have appeared to influence the work reported in this paper.</w:t>
      </w:r>
    </w:p>
    <w:p w14:paraId="6FE7B057">
      <w:pPr>
        <w:adjustRightInd w:val="0"/>
        <w:snapToGrid w:val="0"/>
        <w:spacing w:line="228" w:lineRule="auto"/>
        <w:rPr>
          <w:rFonts w:ascii="Times New Roman" w:hAnsi="Times New Roman" w:cs="Times New Roman"/>
          <w:b/>
          <w:sz w:val="20"/>
          <w:szCs w:val="20"/>
        </w:rPr>
      </w:pPr>
      <w:r>
        <w:rPr>
          <w:rFonts w:ascii="Times New Roman" w:hAnsi="Times New Roman" w:cs="Times New Roman"/>
          <w:b/>
          <w:sz w:val="20"/>
          <w:szCs w:val="20"/>
        </w:rPr>
        <w:t>Acknowledgments</w:t>
      </w:r>
    </w:p>
    <w:p w14:paraId="2664EB0C">
      <w:pPr>
        <w:adjustRightInd w:val="0"/>
        <w:snapToGrid w:val="0"/>
        <w:spacing w:line="228" w:lineRule="auto"/>
        <w:rPr>
          <w:rFonts w:ascii="Times New Roman" w:hAnsi="Times New Roman" w:cs="Times New Roman"/>
          <w:sz w:val="20"/>
          <w:szCs w:val="20"/>
        </w:rPr>
      </w:pPr>
      <w:r>
        <w:rPr>
          <w:rFonts w:ascii="Times New Roman" w:hAnsi="Times New Roman" w:cs="Times New Roman"/>
          <w:sz w:val="20"/>
          <w:szCs w:val="20"/>
        </w:rPr>
        <w:t>This research was supported by the 2026 17th University Student Service Outsourcing Innovation and Entrepreneurship Competition participant project (Team ID: T2600338) and the 2025 Jiangsu Province University Student Innovation and Entrepreneurship Training Program (Project ID: X202510294580). The views and conclusions expressed in this paper represent the academic perspectives of the authors and do not represent the position of the funding agencies.</w:t>
      </w:r>
    </w:p>
    <w:p w14:paraId="089A0580">
      <w:pPr>
        <w:adjustRightInd w:val="0"/>
        <w:snapToGrid w:val="0"/>
        <w:spacing w:line="228" w:lineRule="auto"/>
        <w:rPr>
          <w:rFonts w:ascii="Times New Roman" w:hAnsi="Times New Roman" w:cs="Times New Roman"/>
          <w:sz w:val="16"/>
          <w:szCs w:val="16"/>
        </w:rPr>
      </w:pPr>
    </w:p>
    <w:p w14:paraId="17D1C6AF">
      <w:pPr>
        <w:adjustRightInd w:val="0"/>
        <w:snapToGrid w:val="0"/>
        <w:spacing w:line="228" w:lineRule="auto"/>
        <w:rPr>
          <w:rFonts w:hint="default" w:ascii="Times New Roman" w:hAnsi="Times New Roman" w:cs="Times New Roman" w:eastAsiaTheme="minorEastAsia"/>
          <w:b/>
          <w:sz w:val="20"/>
          <w:szCs w:val="20"/>
          <w:lang w:val="en-US" w:eastAsia="zh-CN"/>
        </w:rPr>
      </w:pPr>
      <w:r>
        <w:rPr>
          <w:rFonts w:hint="eastAsia" w:ascii="Times New Roman" w:hAnsi="Times New Roman" w:cs="Times New Roman"/>
          <w:b/>
          <w:sz w:val="20"/>
          <w:szCs w:val="20"/>
        </w:rPr>
        <w:t>R</w:t>
      </w:r>
      <w:r>
        <w:rPr>
          <w:rFonts w:hint="eastAsia" w:ascii="Times New Roman" w:hAnsi="Times New Roman" w:cs="Times New Roman"/>
          <w:b/>
          <w:sz w:val="20"/>
          <w:szCs w:val="20"/>
          <w:lang w:val="en-US" w:eastAsia="zh-CN"/>
        </w:rPr>
        <w:t>eferences</w:t>
      </w:r>
    </w:p>
    <w:p w14:paraId="65BFF07A">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 xml:space="preserve">[1]Ministry of Education of the People’s Republic of China. Statistical Bulletin of National Education Development in 2024. </w:t>
      </w:r>
      <w:r>
        <w:rPr>
          <w:rFonts w:ascii="Times New Roman" w:hAnsi="Times New Roman" w:cs="Times New Roman"/>
          <w:i/>
          <w:sz w:val="16"/>
          <w:szCs w:val="16"/>
        </w:rPr>
        <w:t>http://www.moe.gov.cn/jyb_sjzl/sjzl_fztjgb/202506/t20250611_1193760.html,</w:t>
      </w:r>
      <w:r>
        <w:rPr>
          <w:rFonts w:ascii="Times New Roman" w:hAnsi="Times New Roman" w:cs="Times New Roman"/>
          <w:sz w:val="16"/>
          <w:szCs w:val="16"/>
        </w:rPr>
        <w:t xml:space="preserve"> Accessed on: Oct. 27, 2025.</w:t>
      </w:r>
    </w:p>
    <w:p w14:paraId="0F796E69">
      <w:pPr>
        <w:adjustRightInd w:val="0"/>
        <w:snapToGrid w:val="0"/>
        <w:spacing w:line="228" w:lineRule="auto"/>
        <w:ind w:left="284" w:hanging="284"/>
        <w:rPr>
          <w:rFonts w:ascii="Times New Roman" w:hAnsi="Times New Roman" w:cs="Times New Roman"/>
          <w:sz w:val="16"/>
          <w:szCs w:val="16"/>
        </w:rPr>
      </w:pPr>
      <w:bookmarkStart w:id="3" w:name="OLE_LINK4"/>
      <w:r>
        <w:rPr>
          <w:rFonts w:ascii="Times New Roman" w:hAnsi="Times New Roman" w:cs="Times New Roman"/>
          <w:sz w:val="16"/>
          <w:szCs w:val="16"/>
        </w:rPr>
        <w:t>[2]T.</w:t>
      </w:r>
      <w:r>
        <w:rPr>
          <w:rFonts w:ascii="Times New Roman" w:hAnsi="Times New Roman" w:cs="Times New Roman"/>
          <w:caps/>
          <w:sz w:val="16"/>
          <w:szCs w:val="16"/>
        </w:rPr>
        <w:t xml:space="preserve"> Jin, Y. Chen, K. Zhang</w:t>
      </w:r>
      <w:r>
        <w:rPr>
          <w:rFonts w:ascii="Times New Roman" w:hAnsi="Times New Roman" w:cs="Times New Roman"/>
          <w:sz w:val="16"/>
          <w:szCs w:val="16"/>
        </w:rPr>
        <w:t xml:space="preserve">. Effects of social media use on employment anxiety among Chinese youth: The roles of upward social comparison, online social support and self-esteem. Front. Psychol., vol. 15, pp. 1-12, 2024. </w:t>
      </w:r>
    </w:p>
    <w:p w14:paraId="408D6FD0">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 xml:space="preserve">[3]W. </w:t>
      </w:r>
      <w:r>
        <w:rPr>
          <w:rFonts w:ascii="Times New Roman" w:hAnsi="Times New Roman" w:cs="Times New Roman"/>
          <w:caps/>
          <w:sz w:val="16"/>
          <w:szCs w:val="16"/>
        </w:rPr>
        <w:t>Wan, R. Duffy, Q. Xiong.</w:t>
      </w:r>
      <w:r>
        <w:rPr>
          <w:rFonts w:ascii="Times New Roman" w:hAnsi="Times New Roman" w:cs="Times New Roman"/>
          <w:sz w:val="16"/>
          <w:szCs w:val="16"/>
        </w:rPr>
        <w:t xml:space="preserve"> Linking future decent work perceptions with employment anxiety: A psychology of working perspective. </w:t>
      </w:r>
      <w:r>
        <w:rPr>
          <w:rFonts w:ascii="Times New Roman" w:hAnsi="Times New Roman" w:cs="Times New Roman"/>
          <w:i/>
          <w:sz w:val="16"/>
          <w:szCs w:val="16"/>
        </w:rPr>
        <w:t>J. Career Assess.</w:t>
      </w:r>
      <w:r>
        <w:rPr>
          <w:rFonts w:ascii="Times New Roman" w:hAnsi="Times New Roman" w:cs="Times New Roman"/>
          <w:sz w:val="16"/>
          <w:szCs w:val="16"/>
        </w:rPr>
        <w:t xml:space="preserve">, </w:t>
      </w:r>
      <w:bookmarkStart w:id="4" w:name="OLE_LINK6"/>
      <w:r>
        <w:rPr>
          <w:rFonts w:ascii="Times New Roman" w:hAnsi="Times New Roman" w:cs="Times New Roman"/>
          <w:sz w:val="16"/>
          <w:szCs w:val="16"/>
        </w:rPr>
        <w:t>vol. 32, no. 3, pp.</w:t>
      </w:r>
      <w:bookmarkEnd w:id="4"/>
      <w:r>
        <w:rPr>
          <w:rFonts w:ascii="Times New Roman" w:hAnsi="Times New Roman" w:cs="Times New Roman"/>
          <w:sz w:val="16"/>
          <w:szCs w:val="16"/>
        </w:rPr>
        <w:t xml:space="preserve"> 445-461, 2024. </w:t>
      </w:r>
    </w:p>
    <w:p w14:paraId="0D0744D9">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 xml:space="preserve">[4]C. </w:t>
      </w:r>
      <w:r>
        <w:rPr>
          <w:rFonts w:ascii="Times New Roman" w:hAnsi="Times New Roman" w:cs="Times New Roman"/>
          <w:caps/>
          <w:sz w:val="16"/>
          <w:szCs w:val="16"/>
        </w:rPr>
        <w:t>Huang, T. Wang, Y. Li.</w:t>
      </w:r>
      <w:r>
        <w:rPr>
          <w:rFonts w:ascii="Times New Roman" w:hAnsi="Times New Roman" w:cs="Times New Roman"/>
          <w:sz w:val="16"/>
          <w:szCs w:val="16"/>
        </w:rPr>
        <w:t xml:space="preserve"> AI-assisted English learning beyond the classroom: Understanding the effects of language proficiency on Chinese undergraduate students’ behavioral engagement. </w:t>
      </w:r>
      <w:r>
        <w:rPr>
          <w:rFonts w:ascii="Times New Roman" w:hAnsi="Times New Roman" w:cs="Times New Roman"/>
          <w:i/>
          <w:sz w:val="16"/>
          <w:szCs w:val="16"/>
        </w:rPr>
        <w:t>Educ. Inf. Technol.,</w:t>
      </w:r>
      <w:r>
        <w:rPr>
          <w:rFonts w:ascii="Times New Roman" w:hAnsi="Times New Roman" w:cs="Times New Roman"/>
          <w:sz w:val="16"/>
          <w:szCs w:val="16"/>
        </w:rPr>
        <w:t xml:space="preserve"> vol. 29, no. 8, pp. 10567–10589, 2024. </w:t>
      </w:r>
    </w:p>
    <w:p w14:paraId="6AE8FAD7">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[5]I. B. Myers, M. H. McCaulley. MBTI Manual: A Guide to the Development and Use of the Myers-Briggs Type Indicator. Palo Alto: Consulting Psychologists Press, 1985:103.</w:t>
      </w:r>
    </w:p>
    <w:p w14:paraId="06EC0B49">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[6]</w:t>
      </w:r>
      <w:r>
        <w:rPr>
          <w:rFonts w:ascii="Times New Roman" w:hAnsi="Times New Roman" w:cs="Times New Roman"/>
          <w:caps/>
          <w:sz w:val="16"/>
          <w:szCs w:val="16"/>
        </w:rPr>
        <w:t>Ismail, Z. H., Sariff, N., Hurtado, E. G.</w:t>
      </w:r>
      <w:r>
        <w:rPr>
          <w:rFonts w:ascii="Times New Roman" w:hAnsi="Times New Roman" w:cs="Times New Roman"/>
          <w:sz w:val="16"/>
          <w:szCs w:val="16"/>
        </w:rPr>
        <w:t xml:space="preserve"> A survey and analysis of cooperative multi-agent robot systems: challenges and directions. </w:t>
      </w:r>
      <w:r>
        <w:rPr>
          <w:rFonts w:ascii="Times New Roman" w:hAnsi="Times New Roman" w:cs="Times New Roman"/>
          <w:i/>
          <w:sz w:val="16"/>
          <w:szCs w:val="16"/>
        </w:rPr>
        <w:t>Applications of Mobile Robots,</w:t>
      </w:r>
      <w:r>
        <w:rPr>
          <w:rFonts w:ascii="Times New Roman" w:hAnsi="Times New Roman" w:cs="Times New Roman"/>
          <w:sz w:val="16"/>
          <w:szCs w:val="16"/>
        </w:rPr>
        <w:t xml:space="preserve"> no. 5, pp. 8-14, 2018. </w:t>
      </w:r>
    </w:p>
    <w:p w14:paraId="2879A8B1">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 xml:space="preserve">[7]Y. Mousavi, Z. Gharineiat, A. Karimi, K. McDougall. Digital twin technology in built environment: A review of applications, capabilities and challenges. </w:t>
      </w:r>
      <w:r>
        <w:rPr>
          <w:rFonts w:ascii="Times New Roman" w:hAnsi="Times New Roman" w:cs="Times New Roman"/>
          <w:i/>
          <w:sz w:val="16"/>
          <w:szCs w:val="16"/>
        </w:rPr>
        <w:t>Smart Cities</w:t>
      </w:r>
      <w:r>
        <w:rPr>
          <w:rFonts w:ascii="Times New Roman" w:hAnsi="Times New Roman" w:cs="Times New Roman"/>
          <w:sz w:val="16"/>
          <w:szCs w:val="16"/>
        </w:rPr>
        <w:t xml:space="preserve">, vol. 7, </w:t>
      </w:r>
      <w:bookmarkStart w:id="5" w:name="OLE_LINK5"/>
      <w:r>
        <w:rPr>
          <w:rFonts w:ascii="Times New Roman" w:hAnsi="Times New Roman" w:cs="Times New Roman"/>
          <w:sz w:val="16"/>
          <w:szCs w:val="16"/>
        </w:rPr>
        <w:t>no. 2, pp</w:t>
      </w:r>
      <w:bookmarkEnd w:id="5"/>
      <w:r>
        <w:rPr>
          <w:rFonts w:ascii="Times New Roman" w:hAnsi="Times New Roman" w:cs="Times New Roman"/>
          <w:sz w:val="16"/>
          <w:szCs w:val="16"/>
        </w:rPr>
        <w:t>. 56-89, 2024.</w:t>
      </w:r>
    </w:p>
    <w:p w14:paraId="5E49587A">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[8]</w:t>
      </w:r>
      <w:r>
        <w:rPr>
          <w:rFonts w:ascii="Times New Roman" w:hAnsi="Times New Roman" w:cs="Times New Roman"/>
          <w:caps/>
          <w:sz w:val="16"/>
          <w:szCs w:val="16"/>
        </w:rPr>
        <w:t>B. Shirazi, A. Safavi, E. Aftabi.</w:t>
      </w:r>
      <w:r>
        <w:rPr>
          <w:rFonts w:ascii="Times New Roman" w:hAnsi="Times New Roman" w:cs="Times New Roman"/>
          <w:sz w:val="16"/>
          <w:szCs w:val="16"/>
        </w:rPr>
        <w:t xml:space="preserve"> The integration of virtual reality and artificial intelligence in educational paradigms. </w:t>
      </w:r>
      <w:r>
        <w:rPr>
          <w:rFonts w:ascii="Times New Roman" w:hAnsi="Times New Roman" w:cs="Times New Roman"/>
          <w:i/>
          <w:sz w:val="16"/>
          <w:szCs w:val="16"/>
        </w:rPr>
        <w:t>J. E-Learning Teach.</w:t>
      </w:r>
      <w:r>
        <w:rPr>
          <w:rFonts w:ascii="Times New Roman" w:hAnsi="Times New Roman" w:cs="Times New Roman"/>
          <w:sz w:val="16"/>
          <w:szCs w:val="16"/>
        </w:rPr>
        <w:t>, vol. 21, no. 2, pp. 178-201, 2024.</w:t>
      </w:r>
    </w:p>
    <w:p w14:paraId="3ED439C8">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[9]</w:t>
      </w:r>
      <w:r>
        <w:rPr>
          <w:rFonts w:ascii="Times New Roman" w:hAnsi="Times New Roman" w:cs="Times New Roman"/>
          <w:caps/>
          <w:sz w:val="16"/>
          <w:szCs w:val="16"/>
        </w:rPr>
        <w:t>Burrus, J., Jackson, T., Xi, N., Steinberg, J</w:t>
      </w:r>
      <w:r>
        <w:rPr>
          <w:rFonts w:ascii="Times New Roman" w:hAnsi="Times New Roman" w:cs="Times New Roman"/>
          <w:sz w:val="16"/>
          <w:szCs w:val="16"/>
        </w:rPr>
        <w:t xml:space="preserve">. Identifying the most important 21st century workforce competencies: An analysis of the Occupational Information Network. </w:t>
      </w:r>
      <w:r>
        <w:rPr>
          <w:rFonts w:ascii="Times New Roman" w:hAnsi="Times New Roman" w:cs="Times New Roman"/>
          <w:i/>
          <w:sz w:val="16"/>
          <w:szCs w:val="16"/>
        </w:rPr>
        <w:t xml:space="preserve">ETS Research Report Series, </w:t>
      </w:r>
      <w:r>
        <w:rPr>
          <w:rFonts w:ascii="Times New Roman" w:hAnsi="Times New Roman" w:cs="Times New Roman"/>
          <w:sz w:val="16"/>
          <w:szCs w:val="16"/>
        </w:rPr>
        <w:t xml:space="preserve">no. 2, pp. 1-55,2013. </w:t>
      </w:r>
    </w:p>
    <w:p w14:paraId="6EB971FD">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[10]</w:t>
      </w:r>
      <w:r>
        <w:rPr>
          <w:rFonts w:ascii="Times New Roman" w:hAnsi="Times New Roman" w:cs="Times New Roman"/>
          <w:caps/>
          <w:sz w:val="16"/>
          <w:szCs w:val="16"/>
        </w:rPr>
        <w:t>J. S. Park, J. C. O'Brien, C. J. Cai</w:t>
      </w:r>
      <w:r>
        <w:rPr>
          <w:rFonts w:ascii="Times New Roman" w:hAnsi="Times New Roman" w:cs="Times New Roman"/>
          <w:sz w:val="16"/>
          <w:szCs w:val="16"/>
        </w:rPr>
        <w:t>, M. R. Morris, P. Liang, M. S. Bernstein. Generative agents: Interactive simulacra of human behavior.</w:t>
      </w:r>
      <w:r>
        <w:rPr>
          <w:rFonts w:ascii="Times New Roman" w:hAnsi="Times New Roman" w:cs="Times New Roman"/>
          <w:i/>
          <w:sz w:val="16"/>
          <w:szCs w:val="16"/>
        </w:rPr>
        <w:t xml:space="preserve"> in Proceedings of the 36th Annual ACM Symposium on User Interface Software and Technology,</w:t>
      </w:r>
      <w:r>
        <w:rPr>
          <w:rFonts w:ascii="Times New Roman" w:hAnsi="Times New Roman" w:cs="Times New Roman"/>
          <w:sz w:val="16"/>
          <w:szCs w:val="16"/>
        </w:rPr>
        <w:t xml:space="preserve"> New York: ACM, 2023, pp. 1-22. https://doi.org/10.1145/3586183.3606763.</w:t>
      </w:r>
    </w:p>
    <w:p w14:paraId="5B56E9EC">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[11]</w:t>
      </w:r>
      <w:r>
        <w:rPr>
          <w:rFonts w:ascii="Times New Roman" w:hAnsi="Times New Roman" w:cs="Times New Roman"/>
          <w:caps/>
          <w:sz w:val="16"/>
          <w:szCs w:val="16"/>
        </w:rPr>
        <w:t xml:space="preserve">Liapis, </w:t>
      </w:r>
      <w:r>
        <w:rPr>
          <w:rFonts w:ascii="Times New Roman" w:hAnsi="Times New Roman" w:cs="Times New Roman"/>
          <w:sz w:val="16"/>
          <w:szCs w:val="16"/>
        </w:rPr>
        <w:t xml:space="preserve">A. Artificial intelligence for designing games. </w:t>
      </w:r>
      <w:r>
        <w:rPr>
          <w:rFonts w:ascii="Times New Roman" w:hAnsi="Times New Roman" w:cs="Times New Roman"/>
          <w:i/>
          <w:sz w:val="16"/>
          <w:szCs w:val="16"/>
        </w:rPr>
        <w:t xml:space="preserve">In Artificial Intelligence and the Arts: Computational Creativity, Artistic Behavior, and Tools for Creatives </w:t>
      </w:r>
      <w:r>
        <w:rPr>
          <w:rFonts w:ascii="Times New Roman" w:hAnsi="Times New Roman" w:cs="Times New Roman"/>
          <w:sz w:val="16"/>
          <w:szCs w:val="16"/>
        </w:rPr>
        <w:t>.</w:t>
      </w:r>
      <w:r>
        <w:t xml:space="preserve"> </w:t>
      </w:r>
      <w:r>
        <w:rPr>
          <w:rFonts w:ascii="Times New Roman" w:hAnsi="Times New Roman" w:cs="Times New Roman"/>
          <w:sz w:val="16"/>
          <w:szCs w:val="16"/>
        </w:rPr>
        <w:t>Cham, Switzerland: Springer International Publishing, 2021: 277–310.</w:t>
      </w:r>
    </w:p>
    <w:p w14:paraId="3058FC0B">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[12]</w:t>
      </w:r>
      <w:r>
        <w:rPr>
          <w:rFonts w:ascii="Times New Roman" w:hAnsi="Times New Roman" w:cs="Times New Roman"/>
          <w:caps/>
          <w:sz w:val="16"/>
          <w:szCs w:val="16"/>
        </w:rPr>
        <w:t xml:space="preserve">Furnham, </w:t>
      </w:r>
      <w:r>
        <w:rPr>
          <w:rFonts w:ascii="Times New Roman" w:hAnsi="Times New Roman" w:cs="Times New Roman"/>
          <w:sz w:val="16"/>
          <w:szCs w:val="16"/>
        </w:rPr>
        <w:t xml:space="preserve">A. The big five versus the big four: The relationship between the Myers-Briggs Type Indicator (MBTI) and NEO-PI five factor model of personality. Personality and Individual Differences, </w:t>
      </w:r>
      <w:bookmarkStart w:id="6" w:name="OLE_LINK7"/>
      <w:r>
        <w:rPr>
          <w:rFonts w:ascii="Times New Roman" w:hAnsi="Times New Roman" w:cs="Times New Roman"/>
          <w:sz w:val="16"/>
          <w:szCs w:val="16"/>
        </w:rPr>
        <w:t>vol. 21, no. 2, pp</w:t>
      </w:r>
      <w:bookmarkEnd w:id="6"/>
      <w:r>
        <w:rPr>
          <w:rFonts w:ascii="Times New Roman" w:hAnsi="Times New Roman" w:cs="Times New Roman"/>
          <w:sz w:val="16"/>
          <w:szCs w:val="16"/>
        </w:rPr>
        <w:t>.303-307, 1996.</w:t>
      </w:r>
    </w:p>
    <w:p w14:paraId="60CA0EC1">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[13]</w:t>
      </w:r>
      <w:r>
        <w:rPr>
          <w:rFonts w:ascii="Times New Roman" w:hAnsi="Times New Roman" w:cs="Times New Roman"/>
          <w:caps/>
          <w:sz w:val="16"/>
          <w:szCs w:val="16"/>
        </w:rPr>
        <w:t xml:space="preserve">Coetzee, M., Schreuder, </w:t>
      </w:r>
      <w:r>
        <w:rPr>
          <w:rFonts w:ascii="Times New Roman" w:hAnsi="Times New Roman" w:cs="Times New Roman"/>
          <w:sz w:val="16"/>
          <w:szCs w:val="16"/>
        </w:rPr>
        <w:t xml:space="preserve">D. Career anchors as a meta-capacity in organizational career development. </w:t>
      </w:r>
      <w:r>
        <w:rPr>
          <w:rFonts w:ascii="Times New Roman" w:hAnsi="Times New Roman" w:cs="Times New Roman"/>
          <w:i/>
          <w:sz w:val="16"/>
          <w:szCs w:val="16"/>
        </w:rPr>
        <w:t>In Psycho-Social Career Meta-Capacities: Dynamics of Contemporary Career Development</w:t>
      </w:r>
      <w:r>
        <w:rPr>
          <w:rFonts w:ascii="Times New Roman" w:hAnsi="Times New Roman" w:cs="Times New Roman"/>
          <w:sz w:val="16"/>
          <w:szCs w:val="16"/>
        </w:rPr>
        <w:t>. Cham, Switzerland: Springer International Publishing. 2013:139-154.</w:t>
      </w:r>
    </w:p>
    <w:p w14:paraId="42A4FD5F">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[14]</w:t>
      </w:r>
      <w:r>
        <w:rPr>
          <w:rFonts w:ascii="Times New Roman" w:hAnsi="Times New Roman" w:cs="Times New Roman"/>
          <w:caps/>
          <w:sz w:val="16"/>
          <w:szCs w:val="16"/>
        </w:rPr>
        <w:t>L. S. Vygotsky.</w:t>
      </w:r>
      <w:r>
        <w:rPr>
          <w:rFonts w:ascii="Times New Roman" w:hAnsi="Times New Roman" w:cs="Times New Roman"/>
          <w:sz w:val="16"/>
          <w:szCs w:val="16"/>
        </w:rPr>
        <w:t xml:space="preserve"> Mind in Society: The Development of Higher Psychological Processes. Cambridge: Harvard University Press, 1978:94.</w:t>
      </w:r>
    </w:p>
    <w:p w14:paraId="4E98F7A2">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[15]</w:t>
      </w:r>
      <w:r>
        <w:rPr>
          <w:rFonts w:ascii="Times New Roman" w:hAnsi="Times New Roman" w:cs="Times New Roman"/>
          <w:caps/>
          <w:sz w:val="16"/>
          <w:szCs w:val="16"/>
        </w:rPr>
        <w:t>Rheinberg, F., Engeser, S.</w:t>
      </w:r>
      <w:r>
        <w:rPr>
          <w:rFonts w:ascii="Times New Roman" w:hAnsi="Times New Roman" w:cs="Times New Roman"/>
          <w:sz w:val="16"/>
          <w:szCs w:val="16"/>
        </w:rPr>
        <w:t xml:space="preserve"> Intrinsic motivation and flow. In Motivation and Action. Cham, Switzerland: Springer International Publishing, 2018: 579-622.</w:t>
      </w:r>
    </w:p>
    <w:p w14:paraId="5D60DEB0">
      <w:pPr>
        <w:adjustRightInd w:val="0"/>
        <w:snapToGrid w:val="0"/>
        <w:spacing w:line="228" w:lineRule="auto"/>
        <w:ind w:left="284" w:hanging="284"/>
        <w:rPr>
          <w:rFonts w:ascii="Times New Roman" w:hAnsi="Times New Roman" w:cs="Times New Roman"/>
          <w:sz w:val="16"/>
          <w:szCs w:val="16"/>
        </w:rPr>
      </w:pPr>
      <w:r>
        <w:rPr>
          <w:rFonts w:ascii="Times New Roman" w:hAnsi="Times New Roman" w:cs="Times New Roman"/>
          <w:sz w:val="16"/>
          <w:szCs w:val="16"/>
        </w:rPr>
        <w:t>[16]K</w:t>
      </w:r>
      <w:r>
        <w:rPr>
          <w:rFonts w:ascii="Times New Roman" w:hAnsi="Times New Roman" w:cs="Times New Roman"/>
          <w:caps/>
          <w:sz w:val="16"/>
          <w:szCs w:val="16"/>
        </w:rPr>
        <w:t>haleel, F. L., Ashaari, N. S., Wook, T. S. M. T.</w:t>
      </w:r>
      <w:r>
        <w:rPr>
          <w:rFonts w:ascii="Times New Roman" w:hAnsi="Times New Roman" w:cs="Times New Roman"/>
          <w:sz w:val="16"/>
          <w:szCs w:val="16"/>
        </w:rPr>
        <w:t xml:space="preserve"> The impact of gamification on students learning engagement. </w:t>
      </w:r>
      <w:r>
        <w:rPr>
          <w:rFonts w:ascii="Times New Roman" w:hAnsi="Times New Roman" w:cs="Times New Roman"/>
          <w:i/>
          <w:sz w:val="16"/>
          <w:szCs w:val="16"/>
        </w:rPr>
        <w:t>International Journal of Electrical and Computer Engineering</w:t>
      </w:r>
      <w:r>
        <w:rPr>
          <w:rFonts w:ascii="Times New Roman" w:hAnsi="Times New Roman" w:cs="Times New Roman"/>
          <w:sz w:val="16"/>
          <w:szCs w:val="16"/>
        </w:rPr>
        <w:t>,</w:t>
      </w:r>
      <w:r>
        <w:rPr>
          <w:rFonts w:ascii="Times New Roman" w:hAnsi="Times New Roman" w:cs="Times New Roman"/>
          <w:i/>
          <w:sz w:val="16"/>
          <w:szCs w:val="16"/>
        </w:rPr>
        <w:t xml:space="preserve"> </w:t>
      </w:r>
      <w:r>
        <w:rPr>
          <w:rFonts w:ascii="Times New Roman" w:hAnsi="Times New Roman" w:cs="Times New Roman"/>
          <w:sz w:val="16"/>
          <w:szCs w:val="16"/>
        </w:rPr>
        <w:t>vol. 10, no. 5, pp. 4965-4972, 2020.</w:t>
      </w:r>
      <w:bookmarkEnd w:id="3"/>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0242561"/>
    </w:sdtPr>
    <w:sdtContent>
      <w:p w14:paraId="47BEA815">
        <w:pPr>
          <w:pStyle w:val="7"/>
          <w:jc w:val="right"/>
          <w:rPr>
            <w:rFonts w:hint="eastAsia"/>
          </w:rPr>
        </w:pPr>
        <w:r>
          <w:fldChar w:fldCharType="begin"/>
        </w:r>
        <w:r>
          <w:instrText xml:space="preserve">PAGE   \* MERGEFORMAT</w:instrText>
        </w:r>
        <w:r>
          <w:fldChar w:fldCharType="separate"/>
        </w:r>
        <w:r>
          <w:rPr>
            <w:lang w:val="zh-CN"/>
          </w:rPr>
          <w:t>8</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16C3FD"/>
    <w:multiLevelType w:val="multilevel"/>
    <w:tmpl w:val="E316C3FD"/>
    <w:lvl w:ilvl="0" w:tentative="0">
      <w:start w:val="1"/>
      <w:numFmt w:val="decimal"/>
      <w:pStyle w:val="2"/>
      <w:suff w:val="space"/>
      <w:lvlText w:val="%1  "/>
      <w:lvlJc w:val="left"/>
      <w:pPr>
        <w:tabs>
          <w:tab w:val="left" w:pos="0"/>
        </w:tabs>
        <w:ind w:left="567" w:hanging="567"/>
      </w:pPr>
      <w:rPr>
        <w:rFonts w:eastAsia="黑体"/>
      </w:rPr>
    </w:lvl>
    <w:lvl w:ilvl="1" w:tentative="0">
      <w:start w:val="1"/>
      <w:numFmt w:val="decimal"/>
      <w:pStyle w:val="3"/>
      <w:isLgl/>
      <w:suff w:val="space"/>
      <w:lvlText w:val="%1.%2   "/>
      <w:lvlJc w:val="left"/>
      <w:pPr>
        <w:tabs>
          <w:tab w:val="left" w:pos="850"/>
        </w:tabs>
        <w:ind w:left="1700" w:hanging="850"/>
      </w:pPr>
      <w:rPr>
        <w:rFonts w:hint="eastAsia" w:ascii="黑体" w:hAnsi="黑体" w:eastAsia="黑体"/>
        <w:b/>
      </w:rPr>
    </w:lvl>
    <w:lvl w:ilvl="2" w:tentative="0">
      <w:start w:val="1"/>
      <w:numFmt w:val="decimal"/>
      <w:pStyle w:val="4"/>
      <w:isLgl/>
      <w:suff w:val="space"/>
      <w:lvlText w:val="%1.%2.%3 "/>
      <w:lvlJc w:val="left"/>
      <w:pPr>
        <w:tabs>
          <w:tab w:val="left" w:pos="0"/>
        </w:tabs>
        <w:ind w:left="567" w:hanging="567"/>
      </w:pPr>
      <w:rPr>
        <w:rFonts w:hint="eastAsia" w:ascii="黑体" w:hAnsi="黑体" w:eastAsia="黑体"/>
        <w:b/>
      </w:rPr>
    </w:lvl>
    <w:lvl w:ilvl="3" w:tentative="0">
      <w:start w:val="1"/>
      <w:numFmt w:val="decimal"/>
      <w:lvlText w:val="%1.%2.%3.%4."/>
      <w:lvlJc w:val="left"/>
      <w:pPr>
        <w:tabs>
          <w:tab w:val="left" w:pos="420"/>
        </w:tabs>
        <w:ind w:left="850" w:hanging="850"/>
      </w:pPr>
    </w:lvl>
    <w:lvl w:ilvl="4" w:tentative="0">
      <w:start w:val="1"/>
      <w:numFmt w:val="decimal"/>
      <w:lvlText w:val="%1.%2.%3.%4.%5."/>
      <w:lvlJc w:val="left"/>
      <w:pPr>
        <w:tabs>
          <w:tab w:val="left" w:pos="420"/>
        </w:tabs>
        <w:ind w:left="991" w:hanging="991"/>
      </w:pPr>
    </w:lvl>
    <w:lvl w:ilvl="5" w:tentative="0">
      <w:start w:val="1"/>
      <w:numFmt w:val="decimal"/>
      <w:lvlRestart w:val="0"/>
      <w:pStyle w:val="5"/>
      <w:isLgl/>
      <w:suff w:val="space"/>
      <w:lvlText w:val="( %6 )"/>
      <w:lvlJc w:val="right"/>
      <w:pPr>
        <w:tabs>
          <w:tab w:val="left" w:pos="420"/>
        </w:tabs>
        <w:ind w:left="0" w:firstLine="0"/>
      </w:pPr>
      <w:rPr>
        <w:rFonts w:hint="eastAsia" w:ascii="宋体" w:hAnsi="宋体" w:eastAsia="黑体" w:cs="宋体"/>
      </w:rPr>
    </w:lvl>
    <w:lvl w:ilvl="6" w:tentative="0">
      <w:start w:val="1"/>
      <w:numFmt w:val="decimal"/>
      <w:pStyle w:val="14"/>
      <w:isLgl/>
      <w:suff w:val="space"/>
      <w:lvlText w:val="[%7] "/>
      <w:lvlJc w:val="left"/>
      <w:pPr>
        <w:tabs>
          <w:tab w:val="left" w:pos="420"/>
        </w:tabs>
        <w:ind w:left="567" w:hanging="567"/>
      </w:pPr>
      <w:rPr>
        <w:rFonts w:ascii="Times New Roman" w:hAnsi="Times New Roman" w:cs="Times New Roman"/>
      </w:rPr>
    </w:lvl>
    <w:lvl w:ilvl="7" w:tentative="0">
      <w:start w:val="1"/>
      <w:numFmt w:val="decimal"/>
      <w:lvlRestart w:val="0"/>
      <w:pStyle w:val="15"/>
      <w:isLgl/>
      <w:suff w:val="space"/>
      <w:lvlText w:val="表 %8  "/>
      <w:lvlJc w:val="left"/>
      <w:pPr>
        <w:tabs>
          <w:tab w:val="left" w:pos="420"/>
        </w:tabs>
        <w:ind w:left="0" w:firstLine="0"/>
      </w:pPr>
      <w:rPr>
        <w:rFonts w:hint="eastAsia" w:ascii="Times New Roman" w:hAnsi="Times New Roman" w:eastAsia="黑体"/>
      </w:rPr>
    </w:lvl>
    <w:lvl w:ilvl="8" w:tentative="0">
      <w:start w:val="1"/>
      <w:numFmt w:val="decimal"/>
      <w:lvlRestart w:val="0"/>
      <w:pStyle w:val="16"/>
      <w:isLgl/>
      <w:suff w:val="space"/>
      <w:lvlText w:val="图 %9  "/>
      <w:lvlJc w:val="left"/>
      <w:pPr>
        <w:tabs>
          <w:tab w:val="left" w:pos="420"/>
        </w:tabs>
        <w:ind w:left="0" w:firstLine="0"/>
      </w:pPr>
      <w:rPr>
        <w:rFonts w:hint="eastAsia" w:ascii="Times New Roman" w:hAnsi="Times New Roman" w:eastAsia="黑体"/>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7A9"/>
    <w:rsid w:val="000057CD"/>
    <w:rsid w:val="00007E1C"/>
    <w:rsid w:val="00011524"/>
    <w:rsid w:val="00012DE8"/>
    <w:rsid w:val="000276A1"/>
    <w:rsid w:val="0004177F"/>
    <w:rsid w:val="000563CC"/>
    <w:rsid w:val="00065D67"/>
    <w:rsid w:val="00084CC9"/>
    <w:rsid w:val="000854A9"/>
    <w:rsid w:val="00090699"/>
    <w:rsid w:val="000A52CD"/>
    <w:rsid w:val="000B69E5"/>
    <w:rsid w:val="000B6F68"/>
    <w:rsid w:val="000D0AEC"/>
    <w:rsid w:val="000D1080"/>
    <w:rsid w:val="000D6BFE"/>
    <w:rsid w:val="000F721A"/>
    <w:rsid w:val="00101E8D"/>
    <w:rsid w:val="0011286F"/>
    <w:rsid w:val="00141641"/>
    <w:rsid w:val="00142BB2"/>
    <w:rsid w:val="00146808"/>
    <w:rsid w:val="00147034"/>
    <w:rsid w:val="00155E95"/>
    <w:rsid w:val="00163720"/>
    <w:rsid w:val="001752AB"/>
    <w:rsid w:val="001939A4"/>
    <w:rsid w:val="001A4674"/>
    <w:rsid w:val="001A5936"/>
    <w:rsid w:val="001B54BA"/>
    <w:rsid w:val="001C24CD"/>
    <w:rsid w:val="001C3841"/>
    <w:rsid w:val="001C436E"/>
    <w:rsid w:val="001E2E6D"/>
    <w:rsid w:val="001E79CD"/>
    <w:rsid w:val="0022667A"/>
    <w:rsid w:val="00233D04"/>
    <w:rsid w:val="00234351"/>
    <w:rsid w:val="002444AA"/>
    <w:rsid w:val="00254542"/>
    <w:rsid w:val="00255E30"/>
    <w:rsid w:val="002622CD"/>
    <w:rsid w:val="0029353A"/>
    <w:rsid w:val="002A58AF"/>
    <w:rsid w:val="002B0C30"/>
    <w:rsid w:val="002C1CFA"/>
    <w:rsid w:val="002D7820"/>
    <w:rsid w:val="002E2F07"/>
    <w:rsid w:val="00312549"/>
    <w:rsid w:val="003853F3"/>
    <w:rsid w:val="00392B35"/>
    <w:rsid w:val="003C0D7D"/>
    <w:rsid w:val="003C2183"/>
    <w:rsid w:val="003C72A1"/>
    <w:rsid w:val="003D2A41"/>
    <w:rsid w:val="003E16E0"/>
    <w:rsid w:val="003E52C1"/>
    <w:rsid w:val="003E709B"/>
    <w:rsid w:val="004005A7"/>
    <w:rsid w:val="00402E53"/>
    <w:rsid w:val="00413D54"/>
    <w:rsid w:val="00422CA5"/>
    <w:rsid w:val="00427F72"/>
    <w:rsid w:val="00437BD6"/>
    <w:rsid w:val="00442D1F"/>
    <w:rsid w:val="004604EA"/>
    <w:rsid w:val="00460F18"/>
    <w:rsid w:val="00482FC6"/>
    <w:rsid w:val="004849C6"/>
    <w:rsid w:val="004A1EB0"/>
    <w:rsid w:val="004A6AE3"/>
    <w:rsid w:val="004B22F5"/>
    <w:rsid w:val="004B60B1"/>
    <w:rsid w:val="004B7DDD"/>
    <w:rsid w:val="004E5B7B"/>
    <w:rsid w:val="004F74FA"/>
    <w:rsid w:val="00503278"/>
    <w:rsid w:val="00514A29"/>
    <w:rsid w:val="00526511"/>
    <w:rsid w:val="00534486"/>
    <w:rsid w:val="005359C0"/>
    <w:rsid w:val="005417E5"/>
    <w:rsid w:val="00553522"/>
    <w:rsid w:val="00564867"/>
    <w:rsid w:val="005737E0"/>
    <w:rsid w:val="00584A60"/>
    <w:rsid w:val="0059017B"/>
    <w:rsid w:val="005A2C69"/>
    <w:rsid w:val="005B0113"/>
    <w:rsid w:val="005B7AFB"/>
    <w:rsid w:val="005C5390"/>
    <w:rsid w:val="005C6EEF"/>
    <w:rsid w:val="005C747B"/>
    <w:rsid w:val="005D5BC4"/>
    <w:rsid w:val="005D6EB8"/>
    <w:rsid w:val="005F07C6"/>
    <w:rsid w:val="005F52DB"/>
    <w:rsid w:val="006337A4"/>
    <w:rsid w:val="006475B3"/>
    <w:rsid w:val="00654C4A"/>
    <w:rsid w:val="0066697A"/>
    <w:rsid w:val="006678DF"/>
    <w:rsid w:val="006709E9"/>
    <w:rsid w:val="0067279A"/>
    <w:rsid w:val="0069398B"/>
    <w:rsid w:val="0069702A"/>
    <w:rsid w:val="006A169C"/>
    <w:rsid w:val="006B5717"/>
    <w:rsid w:val="006C7538"/>
    <w:rsid w:val="006F1786"/>
    <w:rsid w:val="006F34E4"/>
    <w:rsid w:val="006F66F4"/>
    <w:rsid w:val="00703E9F"/>
    <w:rsid w:val="00704F56"/>
    <w:rsid w:val="007225D3"/>
    <w:rsid w:val="00722FAC"/>
    <w:rsid w:val="00727209"/>
    <w:rsid w:val="00734F17"/>
    <w:rsid w:val="00747889"/>
    <w:rsid w:val="0075033A"/>
    <w:rsid w:val="00755876"/>
    <w:rsid w:val="00780F0B"/>
    <w:rsid w:val="00786676"/>
    <w:rsid w:val="00791426"/>
    <w:rsid w:val="007B06A1"/>
    <w:rsid w:val="007B47A2"/>
    <w:rsid w:val="007C07A9"/>
    <w:rsid w:val="007C08B6"/>
    <w:rsid w:val="007C5AF5"/>
    <w:rsid w:val="007D2428"/>
    <w:rsid w:val="007E0CBA"/>
    <w:rsid w:val="007E1076"/>
    <w:rsid w:val="007E7673"/>
    <w:rsid w:val="007F00E0"/>
    <w:rsid w:val="007F3DE1"/>
    <w:rsid w:val="00801DB3"/>
    <w:rsid w:val="0080635D"/>
    <w:rsid w:val="00806DEE"/>
    <w:rsid w:val="008122E7"/>
    <w:rsid w:val="008330CE"/>
    <w:rsid w:val="00851D78"/>
    <w:rsid w:val="008536DA"/>
    <w:rsid w:val="00855935"/>
    <w:rsid w:val="00861F73"/>
    <w:rsid w:val="00863BFB"/>
    <w:rsid w:val="00864B28"/>
    <w:rsid w:val="00871159"/>
    <w:rsid w:val="00874643"/>
    <w:rsid w:val="00876A5B"/>
    <w:rsid w:val="00880904"/>
    <w:rsid w:val="008A361F"/>
    <w:rsid w:val="008A58D1"/>
    <w:rsid w:val="008A639D"/>
    <w:rsid w:val="008A7133"/>
    <w:rsid w:val="008B0448"/>
    <w:rsid w:val="008B0E4E"/>
    <w:rsid w:val="008C337D"/>
    <w:rsid w:val="008C52F1"/>
    <w:rsid w:val="008C6664"/>
    <w:rsid w:val="008D4D05"/>
    <w:rsid w:val="0090191F"/>
    <w:rsid w:val="00911F1A"/>
    <w:rsid w:val="0091528F"/>
    <w:rsid w:val="00916AF5"/>
    <w:rsid w:val="0092410F"/>
    <w:rsid w:val="00934C32"/>
    <w:rsid w:val="00942982"/>
    <w:rsid w:val="009476BB"/>
    <w:rsid w:val="0097604F"/>
    <w:rsid w:val="00985622"/>
    <w:rsid w:val="009A061F"/>
    <w:rsid w:val="009A3715"/>
    <w:rsid w:val="009A5ACB"/>
    <w:rsid w:val="009B123D"/>
    <w:rsid w:val="009B2EBD"/>
    <w:rsid w:val="009C39DC"/>
    <w:rsid w:val="009E06C2"/>
    <w:rsid w:val="009E0885"/>
    <w:rsid w:val="00A00C1B"/>
    <w:rsid w:val="00A00C2B"/>
    <w:rsid w:val="00A07663"/>
    <w:rsid w:val="00A101A5"/>
    <w:rsid w:val="00A11F43"/>
    <w:rsid w:val="00A34358"/>
    <w:rsid w:val="00A40D72"/>
    <w:rsid w:val="00A42E62"/>
    <w:rsid w:val="00A641D8"/>
    <w:rsid w:val="00A710FC"/>
    <w:rsid w:val="00A76F51"/>
    <w:rsid w:val="00A81108"/>
    <w:rsid w:val="00A91486"/>
    <w:rsid w:val="00A92CE5"/>
    <w:rsid w:val="00AA0434"/>
    <w:rsid w:val="00AA316B"/>
    <w:rsid w:val="00AA4853"/>
    <w:rsid w:val="00AA7C9B"/>
    <w:rsid w:val="00AB6E1F"/>
    <w:rsid w:val="00AC3510"/>
    <w:rsid w:val="00AE5434"/>
    <w:rsid w:val="00AF1FB1"/>
    <w:rsid w:val="00B1306A"/>
    <w:rsid w:val="00B1327C"/>
    <w:rsid w:val="00B2128A"/>
    <w:rsid w:val="00B25168"/>
    <w:rsid w:val="00B41BF4"/>
    <w:rsid w:val="00B453CF"/>
    <w:rsid w:val="00B53865"/>
    <w:rsid w:val="00B80D65"/>
    <w:rsid w:val="00B917C6"/>
    <w:rsid w:val="00B92DFE"/>
    <w:rsid w:val="00B93CD5"/>
    <w:rsid w:val="00BA4A1F"/>
    <w:rsid w:val="00BB09E6"/>
    <w:rsid w:val="00BD26F2"/>
    <w:rsid w:val="00BD727A"/>
    <w:rsid w:val="00BE2646"/>
    <w:rsid w:val="00BF6D6C"/>
    <w:rsid w:val="00C043D5"/>
    <w:rsid w:val="00C11D68"/>
    <w:rsid w:val="00C12C72"/>
    <w:rsid w:val="00C576BD"/>
    <w:rsid w:val="00CA4447"/>
    <w:rsid w:val="00CA5EE6"/>
    <w:rsid w:val="00CA66DE"/>
    <w:rsid w:val="00CB7821"/>
    <w:rsid w:val="00CB7A8A"/>
    <w:rsid w:val="00CC2C91"/>
    <w:rsid w:val="00CC521F"/>
    <w:rsid w:val="00CC5DD4"/>
    <w:rsid w:val="00CD53AD"/>
    <w:rsid w:val="00CD5AEE"/>
    <w:rsid w:val="00CE0DE3"/>
    <w:rsid w:val="00D0425F"/>
    <w:rsid w:val="00D12210"/>
    <w:rsid w:val="00D14B28"/>
    <w:rsid w:val="00D17737"/>
    <w:rsid w:val="00D21E98"/>
    <w:rsid w:val="00D35F20"/>
    <w:rsid w:val="00D449F9"/>
    <w:rsid w:val="00D51496"/>
    <w:rsid w:val="00D538B4"/>
    <w:rsid w:val="00D560A7"/>
    <w:rsid w:val="00D87FDF"/>
    <w:rsid w:val="00D92345"/>
    <w:rsid w:val="00DA2B20"/>
    <w:rsid w:val="00DA4C75"/>
    <w:rsid w:val="00DA7FDD"/>
    <w:rsid w:val="00DB0D51"/>
    <w:rsid w:val="00DE302E"/>
    <w:rsid w:val="00DE74DE"/>
    <w:rsid w:val="00DF57A9"/>
    <w:rsid w:val="00E30AA8"/>
    <w:rsid w:val="00E32099"/>
    <w:rsid w:val="00E4619D"/>
    <w:rsid w:val="00E5646B"/>
    <w:rsid w:val="00E6261E"/>
    <w:rsid w:val="00E66979"/>
    <w:rsid w:val="00EA2447"/>
    <w:rsid w:val="00EB02EA"/>
    <w:rsid w:val="00ED4A7C"/>
    <w:rsid w:val="00EE6690"/>
    <w:rsid w:val="00EE6C21"/>
    <w:rsid w:val="00EF3FD4"/>
    <w:rsid w:val="00F00E73"/>
    <w:rsid w:val="00F156BA"/>
    <w:rsid w:val="00F16B5C"/>
    <w:rsid w:val="00F4248C"/>
    <w:rsid w:val="00F4511C"/>
    <w:rsid w:val="00F47934"/>
    <w:rsid w:val="00F503BC"/>
    <w:rsid w:val="00F62114"/>
    <w:rsid w:val="00F7355D"/>
    <w:rsid w:val="00F767CE"/>
    <w:rsid w:val="00F828BB"/>
    <w:rsid w:val="00F840B6"/>
    <w:rsid w:val="00FA5585"/>
    <w:rsid w:val="00FB2B3F"/>
    <w:rsid w:val="00FD663B"/>
    <w:rsid w:val="00FD6F4D"/>
    <w:rsid w:val="00FD7125"/>
    <w:rsid w:val="08385709"/>
    <w:rsid w:val="0F784F3B"/>
    <w:rsid w:val="18E633C4"/>
    <w:rsid w:val="1B9236E9"/>
    <w:rsid w:val="2ADF78C0"/>
    <w:rsid w:val="2BA521B9"/>
    <w:rsid w:val="32990C99"/>
    <w:rsid w:val="4E7939C1"/>
    <w:rsid w:val="4F6D6A9E"/>
    <w:rsid w:val="533F79CA"/>
    <w:rsid w:val="54D029AA"/>
    <w:rsid w:val="622A0DA0"/>
    <w:rsid w:val="69C85C6D"/>
    <w:rsid w:val="743A3357"/>
    <w:rsid w:val="74BB2D4F"/>
    <w:rsid w:val="7A3B2320"/>
    <w:rsid w:val="7ACD6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0"/>
    <w:pPr>
      <w:numPr>
        <w:ilvl w:val="0"/>
        <w:numId w:val="1"/>
      </w:numPr>
      <w:spacing w:beforeLines="35" w:afterLines="50"/>
      <w:ind w:right="360" w:rightChars="150" w:firstLine="0"/>
      <w:jc w:val="center"/>
      <w:outlineLvl w:val="0"/>
    </w:pPr>
    <w:rPr>
      <w:rFonts w:ascii="Times New Roman" w:hAnsi="Times New Roman" w:eastAsia="黑体" w:cs="Times New Roman"/>
      <w:sz w:val="28"/>
      <w:szCs w:val="24"/>
    </w:rPr>
  </w:style>
  <w:style w:type="paragraph" w:styleId="3">
    <w:name w:val="heading 2"/>
    <w:basedOn w:val="2"/>
    <w:next w:val="1"/>
    <w:link w:val="18"/>
    <w:semiHidden/>
    <w:unhideWhenUsed/>
    <w:qFormat/>
    <w:uiPriority w:val="0"/>
    <w:pPr>
      <w:numPr>
        <w:ilvl w:val="1"/>
      </w:numPr>
      <w:ind w:left="360" w:leftChars="150" w:firstLine="0"/>
      <w:jc w:val="left"/>
      <w:outlineLvl w:val="1"/>
    </w:pPr>
    <w:rPr>
      <w:sz w:val="24"/>
    </w:rPr>
  </w:style>
  <w:style w:type="paragraph" w:styleId="4">
    <w:name w:val="heading 3"/>
    <w:basedOn w:val="3"/>
    <w:next w:val="1"/>
    <w:link w:val="13"/>
    <w:semiHidden/>
    <w:unhideWhenUsed/>
    <w:qFormat/>
    <w:uiPriority w:val="0"/>
    <w:pPr>
      <w:numPr>
        <w:ilvl w:val="2"/>
      </w:numPr>
      <w:ind w:left="340"/>
      <w:outlineLvl w:val="2"/>
    </w:pPr>
  </w:style>
  <w:style w:type="paragraph" w:styleId="5">
    <w:name w:val="heading 4"/>
    <w:basedOn w:val="1"/>
    <w:next w:val="1"/>
    <w:link w:val="19"/>
    <w:semiHidden/>
    <w:unhideWhenUsed/>
    <w:qFormat/>
    <w:uiPriority w:val="0"/>
    <w:pPr>
      <w:numPr>
        <w:ilvl w:val="5"/>
        <w:numId w:val="1"/>
      </w:numPr>
      <w:spacing w:beforeLines="35"/>
      <w:ind w:right="360" w:rightChars="150"/>
      <w:outlineLvl w:val="3"/>
    </w:pPr>
    <w:rPr>
      <w:rFonts w:ascii="Times New Roman" w:hAnsi="Times New Roman" w:eastAsia="宋体" w:cs="Times New Roman"/>
      <w:sz w:val="24"/>
      <w:szCs w:val="2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21"/>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line number"/>
    <w:basedOn w:val="10"/>
    <w:semiHidden/>
    <w:unhideWhenUsed/>
    <w:qFormat/>
    <w:uiPriority w:val="99"/>
  </w:style>
  <w:style w:type="character" w:styleId="12">
    <w:name w:val="Hyperlink"/>
    <w:basedOn w:val="10"/>
    <w:semiHidden/>
    <w:unhideWhenUsed/>
    <w:qFormat/>
    <w:uiPriority w:val="99"/>
    <w:rPr>
      <w:color w:val="0000FF"/>
      <w:u w:val="single"/>
    </w:rPr>
  </w:style>
  <w:style w:type="character" w:customStyle="1" w:styleId="13">
    <w:name w:val="标题 3 字符"/>
    <w:basedOn w:val="10"/>
    <w:link w:val="4"/>
    <w:semiHidden/>
    <w:qFormat/>
    <w:uiPriority w:val="0"/>
    <w:rPr>
      <w:rFonts w:ascii="Times New Roman" w:hAnsi="Times New Roman" w:eastAsia="黑体" w:cs="Times New Roman"/>
      <w:sz w:val="24"/>
      <w:szCs w:val="24"/>
    </w:rPr>
  </w:style>
  <w:style w:type="paragraph" w:customStyle="1" w:styleId="14">
    <w:name w:val="参考文献"/>
    <w:basedOn w:val="1"/>
    <w:qFormat/>
    <w:uiPriority w:val="0"/>
    <w:pPr>
      <w:numPr>
        <w:ilvl w:val="6"/>
        <w:numId w:val="1"/>
      </w:numPr>
      <w:spacing w:beforeLines="35"/>
      <w:ind w:right="360" w:rightChars="150" w:firstLine="0"/>
      <w:jc w:val="left"/>
    </w:pPr>
    <w:rPr>
      <w:rFonts w:ascii="Times New Roman" w:hAnsi="Times New Roman" w:eastAsia="宋体" w:cs="宋体"/>
      <w:sz w:val="24"/>
      <w:szCs w:val="24"/>
    </w:rPr>
  </w:style>
  <w:style w:type="paragraph" w:customStyle="1" w:styleId="15">
    <w:name w:val="表注"/>
    <w:basedOn w:val="1"/>
    <w:next w:val="1"/>
    <w:qFormat/>
    <w:uiPriority w:val="0"/>
    <w:pPr>
      <w:numPr>
        <w:ilvl w:val="7"/>
        <w:numId w:val="1"/>
      </w:numPr>
      <w:spacing w:beforeLines="50"/>
      <w:jc w:val="center"/>
    </w:pPr>
    <w:rPr>
      <w:rFonts w:ascii="Times New Roman" w:hAnsi="Times New Roman" w:eastAsia="宋体" w:cs="宋体"/>
      <w:b/>
      <w:szCs w:val="24"/>
    </w:rPr>
  </w:style>
  <w:style w:type="paragraph" w:customStyle="1" w:styleId="16">
    <w:name w:val="图注"/>
    <w:basedOn w:val="1"/>
    <w:qFormat/>
    <w:uiPriority w:val="0"/>
    <w:pPr>
      <w:numPr>
        <w:ilvl w:val="8"/>
        <w:numId w:val="1"/>
      </w:numPr>
      <w:tabs>
        <w:tab w:val="left" w:pos="0"/>
      </w:tabs>
      <w:spacing w:beforeLines="35" w:afterLines="50"/>
      <w:jc w:val="center"/>
    </w:pPr>
    <w:rPr>
      <w:rFonts w:ascii="Times New Roman" w:hAnsi="Times New Roman" w:eastAsia="宋体" w:cs="宋体"/>
      <w:b/>
      <w:szCs w:val="24"/>
    </w:rPr>
  </w:style>
  <w:style w:type="character" w:customStyle="1" w:styleId="17">
    <w:name w:val="标题 1 字符"/>
    <w:basedOn w:val="10"/>
    <w:link w:val="2"/>
    <w:qFormat/>
    <w:uiPriority w:val="0"/>
    <w:rPr>
      <w:rFonts w:ascii="Times New Roman" w:hAnsi="Times New Roman" w:eastAsia="黑体" w:cs="Times New Roman"/>
      <w:sz w:val="28"/>
      <w:szCs w:val="24"/>
    </w:rPr>
  </w:style>
  <w:style w:type="character" w:customStyle="1" w:styleId="18">
    <w:name w:val="标题 2 字符"/>
    <w:basedOn w:val="10"/>
    <w:link w:val="3"/>
    <w:semiHidden/>
    <w:qFormat/>
    <w:uiPriority w:val="0"/>
    <w:rPr>
      <w:rFonts w:ascii="Times New Roman" w:hAnsi="Times New Roman" w:eastAsia="黑体" w:cs="Times New Roman"/>
      <w:sz w:val="24"/>
      <w:szCs w:val="24"/>
    </w:rPr>
  </w:style>
  <w:style w:type="character" w:customStyle="1" w:styleId="19">
    <w:name w:val="标题 4 字符"/>
    <w:basedOn w:val="10"/>
    <w:link w:val="5"/>
    <w:semiHidden/>
    <w:qFormat/>
    <w:uiPriority w:val="0"/>
    <w:rPr>
      <w:rFonts w:ascii="Times New Roman" w:hAnsi="Times New Roman" w:eastAsia="宋体" w:cs="Times New Roman"/>
      <w:sz w:val="24"/>
      <w:szCs w:val="24"/>
    </w:rPr>
  </w:style>
  <w:style w:type="character" w:customStyle="1" w:styleId="20">
    <w:name w:val="页眉 字符"/>
    <w:basedOn w:val="10"/>
    <w:link w:val="7"/>
    <w:qFormat/>
    <w:uiPriority w:val="99"/>
    <w:rPr>
      <w:sz w:val="18"/>
      <w:szCs w:val="18"/>
    </w:rPr>
  </w:style>
  <w:style w:type="character" w:customStyle="1" w:styleId="21">
    <w:name w:val="页脚 字符"/>
    <w:basedOn w:val="10"/>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1550</Words>
  <Characters>11081</Characters>
  <Lines>560</Lines>
  <Paragraphs>310</Paragraphs>
  <TotalTime>269</TotalTime>
  <ScaleCrop>false</ScaleCrop>
  <LinksUpToDate>false</LinksUpToDate>
  <CharactersWithSpaces>12493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2026-04-13T05:40:00Z</dcterms:created>
  <dc:creator>PC</dc:creator>
  <cp:lastModifiedBy>冬日里</cp:lastModifiedBy>
  <cp:lastPrinted>2026-04-13T08:18:00Z</cp:lastPrinted>
  <dcterms:modified xsi:type="dcterms:W3CDTF">2026-05-07T05:51:06Z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eyJoZGlkIjoiNGMxMzkwODUyMDc3NmQwZjM3OTI1MGVhMjRhOTg1OWIiLCJ1c2VySWQiOiI5OTMwMjc3NjcifQ==</vt:lpwstr>
  </property>
  <property fmtid="{D5CDD505-2E9C-101B-9397-08002B2CF9AE}" pid="3" name="KSOProductBuildVer">
    <vt:lpwstr>2052-12.1.0.25225</vt:lpwstr>
  </property>
  <property fmtid="{D5CDD505-2E9C-101B-9397-08002B2CF9AE}" pid="4" name="ICV">
    <vt:lpwstr>332C7D7AF1414F01838C31BE9266E517_13</vt:lpwstr>
  </property>
</Properties>
</file>