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vwhph1u105x" w:id="0"/>
      <w:bookmarkEnd w:id="0"/>
      <w:r w:rsidDel="00000000" w:rsidR="00000000" w:rsidRPr="00000000">
        <w:rPr>
          <w:b w:val="1"/>
          <w:bCs w:val="1"/>
          <w:sz w:val="46"/>
          <w:szCs w:val="46"/>
          <w:rtl w:val="0"/>
        </w:rPr>
        <w:t xml:space="preserve">REPORT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4bzwdzy295u0" w:id="1"/>
      <w:bookmarkEnd w:id="1"/>
      <w:r w:rsidDel="00000000" w:rsidR="00000000" w:rsidRPr="00000000">
        <w:rPr>
          <w:b w:val="1"/>
          <w:bCs w:val="1"/>
          <w:sz w:val="46"/>
          <w:szCs w:val="46"/>
          <w:rtl w:val="0"/>
        </w:rPr>
        <w:t xml:space="preserve">Research Report on Legal Chain of Custody Requirements (ISO/IEC 27037) and Nigerian Judicial Admissibility Rules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mxqv3ym9jvs"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Digital evidence has become an essential component of criminal investigations, civil disputes, cybersecurity incident response, and digital forensics. Unlike physical evidence, digital evidence can be easily modified, copied, or destroyed if not properly handled. To maintain its integrity and ensure that it is accepted in court, standardized procedures must be followed throughout its lifecycle. One of the internationally recognized standards for handling digital evidence is </w:t>
      </w:r>
      <w:r w:rsidDel="00000000" w:rsidR="00000000" w:rsidRPr="00000000">
        <w:rPr>
          <w:b w:val="1"/>
          <w:bCs w:val="1"/>
          <w:rtl w:val="0"/>
        </w:rPr>
        <w:t xml:space="preserve">ISO/IEC 27037</w:t>
      </w:r>
      <w:r w:rsidDel="00000000" w:rsidR="00000000" w:rsidRPr="00000000">
        <w:rPr>
          <w:rtl w:val="0"/>
        </w:rPr>
        <w:t xml:space="preserve">, while in Nigeria, the admissibility of electronic evidence is primarily governed by the </w:t>
      </w:r>
      <w:r w:rsidDel="00000000" w:rsidR="00000000" w:rsidRPr="00000000">
        <w:rPr>
          <w:b w:val="1"/>
          <w:bCs w:val="1"/>
          <w:rtl w:val="0"/>
        </w:rPr>
        <w:t xml:space="preserve">Evidence Act 2011</w:t>
      </w:r>
      <w:r w:rsidDel="00000000" w:rsidR="00000000" w:rsidRPr="00000000">
        <w:rPr>
          <w:rtl w:val="0"/>
        </w:rPr>
        <w:t xml:space="preserve">, particularly Section 84, alongside relevant provisions of the Cybercrimes Act.</w:t>
      </w:r>
    </w:p>
    <w:p w:rsidR="00000000" w:rsidDel="00000000" w:rsidP="00000000" w:rsidRDefault="00000000" w:rsidRPr="00000000" w14:paraId="00000005">
      <w:pPr>
        <w:spacing w:after="240" w:before="240" w:lineRule="auto"/>
        <w:rPr/>
      </w:pPr>
      <w:r w:rsidDel="00000000" w:rsidR="00000000" w:rsidRPr="00000000">
        <w:rPr>
          <w:rtl w:val="0"/>
        </w:rPr>
        <w:t xml:space="preserve">This report examines the legal requirements for maintaining the chain of custody under ISO/IEC 27037 and discusses the judicial requirements for admitting electronic evidence in Nigerian courts.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fkb9wq56qqd" w:id="3"/>
      <w:bookmarkEnd w:id="3"/>
      <w:r w:rsidDel="00000000" w:rsidR="00000000" w:rsidRPr="00000000">
        <w:rPr>
          <w:b w:val="1"/>
          <w:bCs w:val="1"/>
          <w:sz w:val="34"/>
          <w:szCs w:val="34"/>
          <w:rtl w:val="0"/>
        </w:rPr>
        <w:t xml:space="preserve">Chain of Custody</w:t>
      </w:r>
    </w:p>
    <w:p w:rsidR="00000000" w:rsidDel="00000000" w:rsidP="00000000" w:rsidRDefault="00000000" w:rsidRPr="00000000" w14:paraId="00000007">
      <w:pPr>
        <w:spacing w:after="240" w:before="240" w:lineRule="auto"/>
        <w:rPr/>
      </w:pPr>
      <w:r w:rsidDel="00000000" w:rsidR="00000000" w:rsidRPr="00000000">
        <w:rPr>
          <w:rtl w:val="0"/>
        </w:rPr>
        <w:t xml:space="preserve">Chain of custody refers to the documented process that records every stage in the handling of digital evidence from the moment it is identified until it is presented in court. It provides a complete history of who collected the evidence, who accessed it, when it was transferred, where it was stored, and what actions were performed on it.</w:t>
      </w:r>
    </w:p>
    <w:p w:rsidR="00000000" w:rsidDel="00000000" w:rsidP="00000000" w:rsidRDefault="00000000" w:rsidRPr="00000000" w14:paraId="00000008">
      <w:pPr>
        <w:spacing w:after="240" w:before="240" w:lineRule="auto"/>
        <w:rPr/>
      </w:pPr>
      <w:r w:rsidDel="00000000" w:rsidR="00000000" w:rsidRPr="00000000">
        <w:rPr>
          <w:rtl w:val="0"/>
        </w:rPr>
        <w:t xml:space="preserve">Maintaining an accurate chain of custody helps ensure that digital evidence remains authentic, reliable, and untampered throughout an investigation.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q60n110glmc" w:id="4"/>
      <w:bookmarkEnd w:id="4"/>
      <w:r w:rsidDel="00000000" w:rsidR="00000000" w:rsidRPr="00000000">
        <w:rPr>
          <w:b w:val="1"/>
          <w:bCs w:val="1"/>
          <w:sz w:val="34"/>
          <w:szCs w:val="34"/>
          <w:rtl w:val="0"/>
        </w:rPr>
        <w:t xml:space="preserve">Overview of ISO/IEC 27037</w:t>
      </w:r>
    </w:p>
    <w:p w:rsidR="00000000" w:rsidDel="00000000" w:rsidP="00000000" w:rsidRDefault="00000000" w:rsidRPr="00000000" w14:paraId="0000000A">
      <w:pPr>
        <w:spacing w:after="240" w:before="240" w:lineRule="auto"/>
        <w:rPr/>
      </w:pPr>
      <w:r w:rsidDel="00000000" w:rsidR="00000000" w:rsidRPr="00000000">
        <w:rPr>
          <w:rtl w:val="0"/>
        </w:rPr>
        <w:t xml:space="preserve">ISO/IEC 27037 is an international standard that provides guidelines for the identification, collection, acquisition, and preservation of digital evidence. Rather than prescribing specific forensic tools, it establishes best practices for handling evidence in a manner that preserves its integrity and admissibility.</w:t>
      </w:r>
    </w:p>
    <w:p w:rsidR="00000000" w:rsidDel="00000000" w:rsidP="00000000" w:rsidRDefault="00000000" w:rsidRPr="00000000" w14:paraId="0000000B">
      <w:pPr>
        <w:spacing w:after="240" w:before="240" w:lineRule="auto"/>
        <w:rPr/>
      </w:pPr>
      <w:r w:rsidDel="00000000" w:rsidR="00000000" w:rsidRPr="00000000">
        <w:rPr>
          <w:rtl w:val="0"/>
        </w:rPr>
        <w:t xml:space="preserve">The standard emphasizes that evidence should remain unchanged from the point of collection to its presentation during legal proceedings.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y1k4iqvziin" w:id="5"/>
      <w:bookmarkEnd w:id="5"/>
      <w:r w:rsidDel="00000000" w:rsidR="00000000" w:rsidRPr="00000000">
        <w:rPr>
          <w:b w:val="1"/>
          <w:bCs w:val="1"/>
          <w:color w:val="000000"/>
          <w:sz w:val="26"/>
          <w:szCs w:val="26"/>
          <w:rtl w:val="0"/>
        </w:rPr>
        <w:t xml:space="preserve">Principles of ISO/IEC 27037</w:t>
      </w:r>
    </w:p>
    <w:p w:rsidR="00000000" w:rsidDel="00000000" w:rsidP="00000000" w:rsidRDefault="00000000" w:rsidRPr="00000000" w14:paraId="0000000D">
      <w:pPr>
        <w:spacing w:after="240" w:before="240" w:lineRule="auto"/>
        <w:rPr/>
      </w:pPr>
      <w:r w:rsidDel="00000000" w:rsidR="00000000" w:rsidRPr="00000000">
        <w:rPr>
          <w:rtl w:val="0"/>
        </w:rPr>
        <w:t xml:space="preserve">The standard is based on several important principles: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Digital evidence should not be altered during collection.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Every action taken on the evidence must be fully documented.</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Qualified personnel should perform evidence collection.</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Evidence should be securely stored.</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Evidence integrity should be verified using cryptographic hash values.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02oyxb61q4" w:id="6"/>
      <w:bookmarkEnd w:id="6"/>
      <w:r w:rsidDel="00000000" w:rsidR="00000000" w:rsidRPr="00000000">
        <w:rPr>
          <w:b w:val="1"/>
          <w:bCs w:val="1"/>
          <w:sz w:val="34"/>
          <w:szCs w:val="34"/>
          <w:rtl w:val="0"/>
        </w:rPr>
        <w:t xml:space="preserve">Identification of Digital Evidence</w:t>
      </w:r>
    </w:p>
    <w:p w:rsidR="00000000" w:rsidDel="00000000" w:rsidP="00000000" w:rsidRDefault="00000000" w:rsidRPr="00000000" w14:paraId="00000014">
      <w:pPr>
        <w:spacing w:after="240" w:before="240" w:lineRule="auto"/>
        <w:rPr/>
      </w:pPr>
      <w:r w:rsidDel="00000000" w:rsidR="00000000" w:rsidRPr="00000000">
        <w:rPr>
          <w:rtl w:val="0"/>
        </w:rPr>
        <w:t xml:space="preserve">The first step involves identifying devices or systems that may contain relevant digital evidence. These may include computers, mobile phones, servers, cloud storage, removable media, or network devices.</w:t>
      </w:r>
    </w:p>
    <w:p w:rsidR="00000000" w:rsidDel="00000000" w:rsidP="00000000" w:rsidRDefault="00000000" w:rsidRPr="00000000" w14:paraId="00000015">
      <w:pPr>
        <w:spacing w:after="240" w:before="240" w:lineRule="auto"/>
        <w:rPr/>
      </w:pPr>
      <w:r w:rsidDel="00000000" w:rsidR="00000000" w:rsidRPr="00000000">
        <w:rPr>
          <w:rtl w:val="0"/>
        </w:rPr>
        <w:t xml:space="preserve">Investigators must carefully determine which devices are relevant before beginning evidence collection.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79lkpaihgkk" w:id="7"/>
      <w:bookmarkEnd w:id="7"/>
      <w:r w:rsidDel="00000000" w:rsidR="00000000" w:rsidRPr="00000000">
        <w:rPr>
          <w:b w:val="1"/>
          <w:bCs w:val="1"/>
          <w:sz w:val="34"/>
          <w:szCs w:val="34"/>
          <w:rtl w:val="0"/>
        </w:rPr>
        <w:t xml:space="preserve">Collection and Acquisition</w:t>
      </w:r>
    </w:p>
    <w:p w:rsidR="00000000" w:rsidDel="00000000" w:rsidP="00000000" w:rsidRDefault="00000000" w:rsidRPr="00000000" w14:paraId="00000017">
      <w:pPr>
        <w:spacing w:after="240" w:before="240" w:lineRule="auto"/>
        <w:rPr/>
      </w:pPr>
      <w:r w:rsidDel="00000000" w:rsidR="00000000" w:rsidRPr="00000000">
        <w:rPr>
          <w:rtl w:val="0"/>
        </w:rPr>
        <w:t xml:space="preserve">Evidence should be collected using accepted forensic procedures.</w:t>
      </w:r>
    </w:p>
    <w:p w:rsidR="00000000" w:rsidDel="00000000" w:rsidP="00000000" w:rsidRDefault="00000000" w:rsidRPr="00000000" w14:paraId="00000018">
      <w:pPr>
        <w:spacing w:after="240" w:before="240" w:lineRule="auto"/>
        <w:rPr/>
      </w:pPr>
      <w:r w:rsidDel="00000000" w:rsidR="00000000" w:rsidRPr="00000000">
        <w:rPr>
          <w:rtl w:val="0"/>
        </w:rPr>
        <w:t xml:space="preserve">Important practices include: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Photographing the scene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Recording device information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Using forensic imaging instead of copying files directly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Recording collection date and time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Documenting the investigator responsible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l5z7553xpyn" w:id="8"/>
      <w:bookmarkEnd w:id="8"/>
      <w:r w:rsidDel="00000000" w:rsidR="00000000" w:rsidRPr="00000000">
        <w:rPr>
          <w:b w:val="1"/>
          <w:bCs w:val="1"/>
          <w:sz w:val="34"/>
          <w:szCs w:val="34"/>
          <w:rtl w:val="0"/>
        </w:rPr>
        <w:t xml:space="preserve">Preservation</w:t>
      </w:r>
    </w:p>
    <w:p w:rsidR="00000000" w:rsidDel="00000000" w:rsidP="00000000" w:rsidRDefault="00000000" w:rsidRPr="00000000" w14:paraId="0000001F">
      <w:pPr>
        <w:spacing w:after="240" w:before="240" w:lineRule="auto"/>
        <w:rPr/>
      </w:pPr>
      <w:r w:rsidDel="00000000" w:rsidR="00000000" w:rsidRPr="00000000">
        <w:rPr>
          <w:rtl w:val="0"/>
        </w:rPr>
        <w:t xml:space="preserve">Preservation ensures that the evidence remains unchanged.</w:t>
      </w:r>
    </w:p>
    <w:p w:rsidR="00000000" w:rsidDel="00000000" w:rsidP="00000000" w:rsidRDefault="00000000" w:rsidRPr="00000000" w14:paraId="00000020">
      <w:pPr>
        <w:spacing w:after="240" w:before="240" w:lineRule="auto"/>
        <w:rPr/>
      </w:pPr>
      <w:r w:rsidDel="00000000" w:rsidR="00000000" w:rsidRPr="00000000">
        <w:rPr>
          <w:rtl w:val="0"/>
        </w:rPr>
        <w:t xml:space="preserve">Common preservation techniques include: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Write blockers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Secure evidence storage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Evidence sealing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Backup copies</w:t>
      </w:r>
    </w:p>
    <w:p w:rsidR="00000000" w:rsidDel="00000000" w:rsidP="00000000" w:rsidRDefault="00000000" w:rsidRPr="00000000" w14:paraId="00000026">
      <w:pPr>
        <w:numPr>
          <w:ilvl w:val="0"/>
          <w:numId w:val="1"/>
        </w:numPr>
        <w:spacing w:after="240" w:before="0" w:beforeAutospacing="0" w:lineRule="auto"/>
        <w:ind w:left="720" w:hanging="360"/>
        <w:rPr>
          <w:u w:val="none"/>
        </w:rPr>
      </w:pPr>
      <w:r w:rsidDel="00000000" w:rsidR="00000000" w:rsidRPr="00000000">
        <w:rPr>
          <w:rtl w:val="0"/>
        </w:rPr>
        <w:t xml:space="preserve">Hash verification</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novh89g34y2" w:id="9"/>
      <w:bookmarkEnd w:id="9"/>
      <w:r w:rsidDel="00000000" w:rsidR="00000000" w:rsidRPr="00000000">
        <w:rPr>
          <w:b w:val="1"/>
          <w:bCs w:val="1"/>
          <w:sz w:val="34"/>
          <w:szCs w:val="34"/>
          <w:rtl w:val="0"/>
        </w:rPr>
        <w:t xml:space="preserve">Documentation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ISO/IEC 27037 requires comprehensive documentation throughout the investigation.</w:t>
      </w:r>
    </w:p>
    <w:p w:rsidR="00000000" w:rsidDel="00000000" w:rsidP="00000000" w:rsidRDefault="00000000" w:rsidRPr="00000000" w14:paraId="00000029">
      <w:pPr>
        <w:spacing w:after="240" w:before="240" w:lineRule="auto"/>
        <w:rPr/>
      </w:pPr>
      <w:r w:rsidDel="00000000" w:rsidR="00000000" w:rsidRPr="00000000">
        <w:rPr>
          <w:rtl w:val="0"/>
        </w:rPr>
        <w:t xml:space="preserve">Typical records include: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Evidence identifier</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Case number</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Collector's name</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Collection date and time</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Collection location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Description of evidence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Hash values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Storage location</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Transfer records</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Custodian signatures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dn0ocyhype4" w:id="10"/>
      <w:bookmarkEnd w:id="10"/>
      <w:r w:rsidDel="00000000" w:rsidR="00000000" w:rsidRPr="00000000">
        <w:rPr>
          <w:b w:val="1"/>
          <w:bCs w:val="1"/>
          <w:sz w:val="34"/>
          <w:szCs w:val="34"/>
          <w:rtl w:val="0"/>
        </w:rPr>
        <w:t xml:space="preserve">Importance of Hash Values</w:t>
      </w:r>
    </w:p>
    <w:p w:rsidR="00000000" w:rsidDel="00000000" w:rsidP="00000000" w:rsidRDefault="00000000" w:rsidRPr="00000000" w14:paraId="00000035">
      <w:pPr>
        <w:spacing w:after="240" w:before="240" w:lineRule="auto"/>
        <w:rPr/>
      </w:pPr>
      <w:r w:rsidDel="00000000" w:rsidR="00000000" w:rsidRPr="00000000">
        <w:rPr>
          <w:rtl w:val="0"/>
        </w:rPr>
        <w:t xml:space="preserve">Hash values such as SHA-256 or SHA-512 are used to verify that digital evidence has not been altered. If the hash generated during acquisition matches the hash generated before court presentation, investigators can demonstrate that the evidence has remained intact.</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62qnb8ri86il" w:id="11"/>
      <w:bookmarkEnd w:id="11"/>
      <w:r w:rsidDel="00000000" w:rsidR="00000000" w:rsidRPr="00000000">
        <w:rPr>
          <w:b w:val="1"/>
          <w:bCs w:val="1"/>
          <w:sz w:val="34"/>
          <w:szCs w:val="34"/>
          <w:rtl w:val="0"/>
        </w:rPr>
        <w:t xml:space="preserve">Nigerian Judicial Admissibility Rules</w:t>
      </w:r>
    </w:p>
    <w:p w:rsidR="00000000" w:rsidDel="00000000" w:rsidP="00000000" w:rsidRDefault="00000000" w:rsidRPr="00000000" w14:paraId="00000037">
      <w:pPr>
        <w:rPr/>
      </w:pPr>
      <w:r w:rsidDel="00000000" w:rsidR="00000000" w:rsidRPr="00000000">
        <w:rPr>
          <w:sz w:val="24"/>
          <w:szCs w:val="24"/>
          <w:rtl w:val="0"/>
        </w:rPr>
        <w:t xml:space="preserve">Nigerian digital evidence laws are primarily governed by </w:t>
      </w:r>
      <w:r w:rsidDel="00000000" w:rsidR="00000000" w:rsidRPr="00000000">
        <w:rPr>
          <w:b w:val="1"/>
          <w:bCs w:val="1"/>
          <w:sz w:val="24"/>
          <w:szCs w:val="24"/>
          <w:rtl w:val="0"/>
        </w:rPr>
        <w:t xml:space="preserve">Section 84</w:t>
      </w:r>
      <w:r w:rsidDel="00000000" w:rsidR="00000000" w:rsidRPr="00000000">
        <w:rPr>
          <w:sz w:val="24"/>
          <w:szCs w:val="24"/>
          <w:rtl w:val="0"/>
        </w:rPr>
        <w:t xml:space="preserve"> of the </w:t>
      </w:r>
      <w:r w:rsidDel="00000000" w:rsidR="00000000" w:rsidRPr="00000000">
        <w:rPr>
          <w:b w:val="1"/>
          <w:bCs w:val="1"/>
          <w:sz w:val="24"/>
          <w:szCs w:val="24"/>
          <w:rtl w:val="0"/>
        </w:rPr>
        <w:t xml:space="preserve">Evidence Act, 2011</w:t>
      </w:r>
      <w:r w:rsidDel="00000000" w:rsidR="00000000" w:rsidRPr="00000000">
        <w:rPr>
          <w:sz w:val="24"/>
          <w:szCs w:val="24"/>
          <w:rtl w:val="0"/>
        </w:rPr>
        <w:t xml:space="preserve"> (as amended). This section provides the statutory framework that allows electronically generated documents and data,such as WhatsApp chats, call logs, and emails,to be admitted in a court of law.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Nigeria recognizes electronic evidence under the </w:t>
      </w:r>
      <w:r w:rsidDel="00000000" w:rsidR="00000000" w:rsidRPr="00000000">
        <w:rPr>
          <w:b w:val="1"/>
          <w:bCs w:val="1"/>
          <w:rtl w:val="0"/>
        </w:rPr>
        <w:t xml:space="preserve">Evidence Act 2011</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The most important provision is </w:t>
      </w:r>
      <w:r w:rsidDel="00000000" w:rsidR="00000000" w:rsidRPr="00000000">
        <w:rPr>
          <w:b w:val="1"/>
          <w:bCs w:val="1"/>
          <w:rtl w:val="0"/>
        </w:rPr>
        <w:t xml:space="preserve">Section 84</w:t>
      </w:r>
      <w:r w:rsidDel="00000000" w:rsidR="00000000" w:rsidRPr="00000000">
        <w:rPr>
          <w:rtl w:val="0"/>
        </w:rPr>
        <w:t xml:space="preserve">, which establishes conditions for admitting computer-generated evidence.</w:t>
      </w:r>
    </w:p>
    <w:p w:rsidR="00000000" w:rsidDel="00000000" w:rsidP="00000000" w:rsidRDefault="00000000" w:rsidRPr="00000000" w14:paraId="0000003A">
      <w:pPr>
        <w:numPr>
          <w:ilvl w:val="0"/>
          <w:numId w:val="4"/>
        </w:numPr>
        <w:pBdr>
          <w:top w:color="auto" w:space="0" w:sz="0" w:val="none"/>
          <w:bottom w:color="auto" w:space="7" w:sz="0" w:val="none"/>
          <w:right w:color="auto" w:space="0" w:sz="0" w:val="none"/>
        </w:pBdr>
        <w:shd w:fill="f2f2f0" w:val="clear"/>
        <w:spacing w:after="0" w:afterAutospacing="0" w:line="432" w:lineRule="auto"/>
        <w:ind w:left="720" w:hanging="360"/>
        <w:rPr>
          <w:sz w:val="24"/>
          <w:szCs w:val="24"/>
        </w:rPr>
      </w:pPr>
      <w:r w:rsidDel="00000000" w:rsidR="00000000" w:rsidRPr="00000000">
        <w:rPr>
          <w:b w:val="1"/>
          <w:bCs w:val="1"/>
          <w:sz w:val="24"/>
          <w:szCs w:val="24"/>
          <w:rtl w:val="0"/>
        </w:rPr>
        <w:t xml:space="preserve">Regular Use.</w:t>
      </w:r>
      <w:r w:rsidDel="00000000" w:rsidR="00000000" w:rsidRPr="00000000">
        <w:rPr>
          <w:sz w:val="24"/>
          <w:szCs w:val="24"/>
          <w:rtl w:val="0"/>
        </w:rPr>
        <w:t xml:space="preserve"> The computer or device must have been in regular use during the period when the document containing the chats was produced.</w:t>
      </w:r>
    </w:p>
    <w:p w:rsidR="00000000" w:rsidDel="00000000" w:rsidP="00000000" w:rsidRDefault="00000000" w:rsidRPr="00000000" w14:paraId="0000003B">
      <w:pPr>
        <w:numPr>
          <w:ilvl w:val="0"/>
          <w:numId w:val="4"/>
        </w:numPr>
        <w:pBdr>
          <w:top w:color="auto" w:space="0" w:sz="0" w:val="none"/>
          <w:bottom w:color="auto" w:space="7" w:sz="0" w:val="none"/>
          <w:right w:color="auto" w:space="0" w:sz="0" w:val="none"/>
        </w:pBdr>
        <w:shd w:fill="f2f2f0" w:val="clear"/>
        <w:spacing w:after="0" w:afterAutospacing="0" w:line="432" w:lineRule="auto"/>
        <w:ind w:left="720" w:hanging="360"/>
        <w:rPr>
          <w:sz w:val="24"/>
          <w:szCs w:val="24"/>
        </w:rPr>
      </w:pPr>
      <w:r w:rsidDel="00000000" w:rsidR="00000000" w:rsidRPr="00000000">
        <w:rPr>
          <w:b w:val="1"/>
          <w:bCs w:val="1"/>
          <w:sz w:val="24"/>
          <w:szCs w:val="24"/>
          <w:rtl w:val="0"/>
        </w:rPr>
        <w:t xml:space="preserve">Regular Supply of Information.</w:t>
      </w:r>
      <w:r w:rsidDel="00000000" w:rsidR="00000000" w:rsidRPr="00000000">
        <w:rPr>
          <w:sz w:val="24"/>
          <w:szCs w:val="24"/>
          <w:rtl w:val="0"/>
        </w:rPr>
        <w:t xml:space="preserve"> The type of information contained in the chats must have been regularly supplied to that device in the ordinary course of activities.</w:t>
      </w:r>
    </w:p>
    <w:p w:rsidR="00000000" w:rsidDel="00000000" w:rsidP="00000000" w:rsidRDefault="00000000" w:rsidRPr="00000000" w14:paraId="0000003C">
      <w:pPr>
        <w:numPr>
          <w:ilvl w:val="0"/>
          <w:numId w:val="4"/>
        </w:numPr>
        <w:pBdr>
          <w:top w:color="auto" w:space="0" w:sz="0" w:val="none"/>
          <w:bottom w:color="auto" w:space="7" w:sz="0" w:val="none"/>
          <w:right w:color="auto" w:space="0" w:sz="0" w:val="none"/>
        </w:pBdr>
        <w:shd w:fill="f2f2f0" w:val="clear"/>
        <w:spacing w:after="0" w:afterAutospacing="0" w:line="432" w:lineRule="auto"/>
        <w:ind w:left="720" w:hanging="360"/>
        <w:rPr>
          <w:sz w:val="24"/>
          <w:szCs w:val="24"/>
        </w:rPr>
      </w:pPr>
      <w:r w:rsidDel="00000000" w:rsidR="00000000" w:rsidRPr="00000000">
        <w:rPr>
          <w:b w:val="1"/>
          <w:bCs w:val="1"/>
          <w:sz w:val="24"/>
          <w:szCs w:val="24"/>
          <w:rtl w:val="0"/>
        </w:rPr>
        <w:t xml:space="preserve">Proper Functioning.</w:t>
      </w:r>
      <w:r w:rsidDel="00000000" w:rsidR="00000000" w:rsidRPr="00000000">
        <w:rPr>
          <w:sz w:val="24"/>
          <w:szCs w:val="24"/>
          <w:rtl w:val="0"/>
        </w:rPr>
        <w:t xml:space="preserve"> The computer or device was operating properly during this time.</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hd w:fill="f2f2f0" w:val="clear"/>
        <w:spacing w:after="360" w:line="432" w:lineRule="auto"/>
        <w:ind w:left="720" w:hanging="360"/>
        <w:rPr>
          <w:sz w:val="24"/>
          <w:szCs w:val="24"/>
        </w:rPr>
      </w:pPr>
      <w:r w:rsidDel="00000000" w:rsidR="00000000" w:rsidRPr="00000000">
        <w:rPr>
          <w:b w:val="1"/>
          <w:bCs w:val="1"/>
          <w:sz w:val="24"/>
          <w:szCs w:val="24"/>
          <w:rtl w:val="0"/>
        </w:rPr>
        <w:t xml:space="preserve">Authenticity of the Information.</w:t>
      </w:r>
      <w:r w:rsidDel="00000000" w:rsidR="00000000" w:rsidRPr="00000000">
        <w:rPr>
          <w:sz w:val="24"/>
          <w:szCs w:val="24"/>
          <w:rtl w:val="0"/>
        </w:rPr>
        <w:t xml:space="preserve"> The information in the document containing the chats was derived from information supplied in the ordinary course of use.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2f2f0" w:val="clear"/>
        <w:spacing w:after="360" w:line="432" w:lineRule="auto"/>
        <w:rPr>
          <w:sz w:val="24"/>
          <w:szCs w:val="24"/>
        </w:rPr>
      </w:pPr>
      <w:r w:rsidDel="00000000" w:rsidR="00000000" w:rsidRPr="00000000">
        <w:rPr>
          <w:sz w:val="24"/>
          <w:szCs w:val="24"/>
          <w:rtl w:val="0"/>
        </w:rPr>
        <w:t xml:space="preserve">https://lehiattorneys.com/divorce-admissibility-of-digital-evidence-whatsapp-chats/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5scwrf7fq2o" w:id="12"/>
      <w:bookmarkEnd w:id="12"/>
      <w:r w:rsidDel="00000000" w:rsidR="00000000" w:rsidRPr="00000000">
        <w:rPr>
          <w:b w:val="1"/>
          <w:bCs w:val="1"/>
          <w:sz w:val="34"/>
          <w:szCs w:val="34"/>
          <w:rtl w:val="0"/>
        </w:rPr>
        <w:t xml:space="preserve">Role of Chain of Custody in Nigerian Courts</w:t>
      </w:r>
    </w:p>
    <w:p w:rsidR="00000000" w:rsidDel="00000000" w:rsidP="00000000" w:rsidRDefault="00000000" w:rsidRPr="00000000" w14:paraId="00000041">
      <w:pPr>
        <w:spacing w:after="240" w:before="240" w:lineRule="auto"/>
        <w:rPr/>
      </w:pPr>
      <w:r w:rsidDel="00000000" w:rsidR="00000000" w:rsidRPr="00000000">
        <w:rPr>
          <w:rtl w:val="0"/>
        </w:rPr>
        <w:t xml:space="preserve">Courts expect investigators to demonstrate that digital evidence has not been tampered with. Although Section 84 focuses on computer-generated evidence, maintaining a proper chain of custody strengthens the credibility and reliability of the evidence presented.</w:t>
      </w:r>
    </w:p>
    <w:p w:rsidR="00000000" w:rsidDel="00000000" w:rsidP="00000000" w:rsidRDefault="00000000" w:rsidRPr="00000000" w14:paraId="00000042">
      <w:pPr>
        <w:spacing w:after="240" w:before="240" w:lineRule="auto"/>
        <w:rPr/>
      </w:pPr>
      <w:r w:rsidDel="00000000" w:rsidR="00000000" w:rsidRPr="00000000">
        <w:rPr>
          <w:rtl w:val="0"/>
        </w:rPr>
        <w:t xml:space="preserve">Incomplete documentation or unexplained gaps in evidence handling may reduce the evidential weight of the material or raise challenges during legal proceedings.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ysimalep72x" w:id="13"/>
      <w:bookmarkEnd w:id="13"/>
      <w:r w:rsidDel="00000000" w:rsidR="00000000" w:rsidRPr="00000000">
        <w:rPr>
          <w:b w:val="1"/>
          <w:bCs w:val="1"/>
          <w:sz w:val="34"/>
          <w:szCs w:val="34"/>
          <w:rtl w:val="0"/>
        </w:rPr>
        <w:t xml:space="preserve">Cybercrimes Act</w:t>
      </w:r>
    </w:p>
    <w:p w:rsidR="00000000" w:rsidDel="00000000" w:rsidP="00000000" w:rsidRDefault="00000000" w:rsidRPr="00000000" w14:paraId="00000044">
      <w:pPr>
        <w:spacing w:after="240" w:before="240" w:lineRule="auto"/>
        <w:rPr/>
      </w:pPr>
      <w:r w:rsidDel="00000000" w:rsidR="00000000" w:rsidRPr="00000000">
        <w:rPr>
          <w:rtl w:val="0"/>
        </w:rPr>
        <w:t xml:space="preserve">The Cybercrimes (Prohibition, Prevention, etc.) Act complements the Evidence Act by providing the legal framework for investigating cyber offences and empowering law enforcement agencies to obtain and preserve electronic evidence during investigations.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ku4i0z198bql" w:id="14"/>
      <w:bookmarkEnd w:id="14"/>
      <w:r w:rsidDel="00000000" w:rsidR="00000000" w:rsidRPr="00000000">
        <w:rPr>
          <w:b w:val="1"/>
          <w:bCs w:val="1"/>
          <w:sz w:val="34"/>
          <w:szCs w:val="34"/>
          <w:rtl w:val="0"/>
        </w:rPr>
        <w:t xml:space="preserve">Best Practices</w:t>
      </w:r>
    </w:p>
    <w:p w:rsidR="00000000" w:rsidDel="00000000" w:rsidP="00000000" w:rsidRDefault="00000000" w:rsidRPr="00000000" w14:paraId="00000046">
      <w:pPr>
        <w:spacing w:after="240" w:before="240" w:lineRule="auto"/>
        <w:rPr/>
      </w:pPr>
      <w:r w:rsidDel="00000000" w:rsidR="00000000" w:rsidRPr="00000000">
        <w:rPr>
          <w:rtl w:val="0"/>
        </w:rPr>
        <w:t xml:space="preserve">Organizations handling digital evidence should:</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Follow ISO/IEC 27037 procedures.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Maintain detailed chain-of-custody documentation.</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Generate cryptographic hash values.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Restrict unauthorized access.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Record every evidence transfer.</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Store evidence securely.</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Preserve audit trails.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y15vigdu03ab"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Proper handling of digital evidence is essential to ensure its authenticity, integrity, and admissibility. ISO/IEC 27037 provides internationally accepted guidelines for preserving digital evidence, while the Nigerian Evidence Act 2011 establishes the legal conditions under which electronic evidence may be admitted in court. Combining these legal and technical requirements helps maintain public confidence in digital investigations and supports fair judicial proceedings.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