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c8d45022f148bd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脉安驰援竞赛演示说明书</w:t>
      </w:r>
    </w:p>
    <w:p>
      <w:pPr>
        <w:pStyle w:val="Subtitle"/>
      </w:pPr>
      <w:r>
        <w:t>共享急救设备、志愿者协同与个人健康管理移动应用</w:t>
      </w:r>
    </w:p>
    <w:p>
      <w:r>
        <w:br w:type="page"/>
      </w:r>
    </w:p>
    <w:p>
      <w:r>
        <w:t>副标题：共享急救设备、志愿者协同与个人健康管理移动应用
版本：1.0.0
文档日期：2026-08-09</w:t>
      </w:r>
    </w:p>
    <w:p>
      <w:pPr>
        <w:pStyle w:val="Heading1"/>
      </w:pPr>
      <w:r>
        <w:t>1. 文档用途</w:t>
      </w:r>
    </w:p>
    <w:p>
      <w:r>
        <w:t>本说明书用于中国大学生计算机设计大赛的软件现场演示、录屏和答辩。作品归入“软件应用与开发—移动应用开发（非游戏类）”。演示坚持真实账户、真实接口和真实数据库状态流转，不使用内置体验账号，不预置人物、设备、救援或健康记录。</w:t>
      </w:r>
    </w:p>
    <w:p>
      <w:pPr>
        <w:pStyle w:val="Heading1"/>
      </w:pPr>
      <w:r>
        <w:t>2. 作品概述</w:t>
      </w:r>
    </w:p>
    <w:p>
      <w:r>
        <w:t>脉安驰援面向公共场所急救设备共享难、紧急事件协同慢和个人健康信息分散三个问题，提供共享 AED 与急救箱登记审核、附近志愿者协同救援、穿戴设备健康趋势、体检报告 OCR 与健康档案四项核心能力。</w:t>
      </w:r>
    </w:p>
    <w:p>
      <w:r>
        <w:t>系统由 uni-app/Vue 3 移动端、Spring Boot 服务端和 MySQL 数据库组成。同一套页面组件服务普通用户、急救志愿者和平台审核员，角色专属入口由后端授权决定；共用业务页面不为三个门户重复实现。</w:t>
      </w:r>
    </w:p>
    <w:p>
      <w:pPr>
        <w:pStyle w:val="Heading1"/>
      </w:pPr>
      <w:r>
        <w:t>3. 参演环境</w:t>
      </w:r>
    </w:p>
    <w:p>
      <w:pPr>
        <w:pStyle w:val="Heading2"/>
      </w:pPr>
      <w:r>
        <w:t>3.1 软件要求</w:t>
      </w:r>
    </w:p>
    <w:p>
      <w:r>
        <w:t>建议使用 Node.js 20 LTS、Java 21、Maven 3.9、MySQL 8.0，以及与项目 uni-app 编译器匹配的 HBuilderX。iOS 为主要作品形态，H5 仅用于评审预览。</w:t>
      </w:r>
    </w:p>
    <w:p>
      <w:pPr>
        <w:pStyle w:val="Heading2"/>
      </w:pPr>
      <w:r>
        <w:t>3.2 必要配置</w:t>
      </w:r>
    </w:p>
    <w:p>
      <w:r>
        <w:t>从前后端环境变量示例复制本地配置。为前端填写 HTTPS API 地址，需要地图选点和道路路线时配置高德 Web JS API；为服务端设置数据库账号、随机 JWT 密钥和媒体目录。OCR 与健康分析均为可选外部能力，未配置时系统必须显示不可用或人工录入入口。</w:t>
      </w:r>
    </w:p>
    <w:p>
      <w:pPr>
        <w:pStyle w:val="Heading2"/>
      </w:pPr>
      <w:r>
        <w:t>3.3 首个管理员</w:t>
      </w:r>
    </w:p>
    <w:p>
      <w:r>
        <w:t>空数据库第一次启动前，临时设置 BOOTSTRAP_ADMIN_PHONE、BOOTSTRAP_ADMIN_PASSWORD 和可选昵称。密码不得少于 12 位。服务端只在数据库中不存在管理员时创建首个管理员；创建后立即移除手机号和密码变量并重启服务。</w:t>
      </w:r>
    </w:p>
    <w:p>
      <w:pPr>
        <w:pStyle w:val="Heading1"/>
      </w:pPr>
      <w:r>
        <w:t>4. 参演账户准备</w:t>
      </w:r>
    </w:p>
    <w:p>
      <w:r>
        <w:t>现场准备三个临时手机号，分别注册普通用户、志愿者候选和审核员候选。先用首个管理员登录，在“我的—账户权限”中把后两者分别授权为“急救志愿者”和“平台审核员”。两名目标用户退出并重新登录，使新 JWT 生效。</w:t>
      </w:r>
    </w:p>
    <w:p>
      <w:r>
        <w:t>这些账户只存在于现场数据库，不写入源码、迁移脚本、说明书或 Git 历史。演示结束后删除现场数据库或按主办方要求留存脱敏记录。</w:t>
      </w:r>
    </w:p>
    <w:p>
      <w:pPr>
        <w:pStyle w:val="Heading1"/>
      </w:pPr>
      <w:r>
        <w:t>5. 演示前检查</w:t>
      </w:r>
    </w:p>
    <w:p>
      <w:r>
        <w:t>检查三种角色已分别登录；定位权限可用；地图配置有效；体检报告图片已经脱敏；健康数据外发授权默认关闭；演示使用普通测试描述，不拨打 120，不触发真实急救机构，不宣称现场记录为真实病例。</w:t>
      </w:r>
    </w:p>
    <w:p>
      <w:r>
        <w:br w:type="page"/>
      </w:r>
    </w:p>
    <w:p>
      <w:pPr>
        <w:pStyle w:val="Heading1"/>
      </w:pPr>
      <w:r>
        <w:t>6. 推荐演示流程</w:t>
      </w:r>
    </w:p>
    <w:p>
      <w:pPr>
        <w:pStyle w:val="Heading2"/>
      </w:pPr>
      <w:r>
        <w:t>6.1 开场：问题与方案</w:t>
      </w:r>
    </w:p>
    <w:p>
      <w:r>
        <w:t>说明公共 AED 的信息通常分散、维护状态不透明，突发事件中求救者、设备和志愿者缺少统一协同。脉安驰援把“设备可信登记—就近匹配—志愿者响应—双方完成确认—设备归还”做成可追踪闭环，并把日常健康趋势与体检档案纳入同一移动端。建议用时 40 秒。</w:t>
      </w:r>
    </w:p>
    <w:p>
      <w:pPr>
        <w:pStyle w:val="Heading2"/>
      </w:pPr>
      <w:r>
        <w:t>6.2 设备登记与跨端审核</w:t>
      </w:r>
    </w:p>
    <w:p>
      <w:r>
        <w:t>普通用户进入“我的设备—添加急救设备”，填写固定 AED 的名称、真实位置、有效期、开放时段和管理方，上传脱敏图片后提交。审核员进入“设备审核”确认记录。普通用户刷新列表后状态同步，地图随即出现该设备。建议用时 60 秒。</w:t>
      </w:r>
    </w:p>
    <w:p>
      <w:r>
        <w:t>讲解重点：设备记录只有一个数据库实体，提交、审核和地图展示共享同一状态；审核前设备不能进入调度候选。</w:t>
      </w:r>
    </w:p>
    <w:p>
      <w:pPr>
        <w:pStyle w:val="Heading2"/>
      </w:pPr>
      <w:r>
        <w:t>6.3 呼救与 AED 匹配</w:t>
      </w:r>
    </w:p>
    <w:p>
      <w:r>
        <w:t>普通用户进入 SOS 页面，确认系统取得真实位置，选择症状和紧急程度并使用明确的测试描述发出呼救。详情页展示服务端返回的匹配阶段、AED、距离和预计到达时间。地图只展示高德规划的可通行路线；路线服务不可用时只保留资源与现场位置。建议用时 70 秒。</w:t>
      </w:r>
    </w:p>
    <w:p>
      <w:r>
        <w:t>讲解重点：呼救先落库再由服务端调度；同一求救者不能并行发起多条活动呼救；设备预留使用事务和版本控制，取消或失败会释放设备。</w:t>
      </w:r>
    </w:p>
    <w:p>
      <w:pPr>
        <w:pStyle w:val="Heading2"/>
      </w:pPr>
      <w:r>
        <w:t>6.4 志愿者响应与信息分级</w:t>
      </w:r>
    </w:p>
    <w:p>
      <w:r>
        <w:t>志愿者进入“救援任务”并上报实际位置。接单前只看到附近任务的模糊位置和必要摘要，不显示精确地址、照片与联系电话；确认响应后开放任务所需信息，并按前往 AED、已取 AED、前往现场、已到达、开始救援、提交完成推进。普通用户页面通过 SSE 或轮询同步状态。建议用时 90 秒。</w:t>
      </w:r>
    </w:p>
    <w:p>
      <w:r>
        <w:t>讲解重点：隐私信息随协作关系逐步开放；移动 AED 跳过固定设备的取用和归还环节。没有真实位置上报时，界面不会模拟移动或虚减 ETA。</w:t>
      </w:r>
    </w:p>
    <w:p>
      <w:pPr>
        <w:pStyle w:val="Heading2"/>
      </w:pPr>
      <w:r>
        <w:t>6.5 完成确认、评价与归还</w:t>
      </w:r>
    </w:p>
    <w:p>
      <w:r>
        <w:t>志愿者提交完成，普通用户确认救援结束。展示救援总时长、关键事件时间线和评价入口。固定 AED 由志愿者确认归还，设备恢复可用。完成不是单边按钮，双方确认和超时规则由服务端状态机约束。建议用时 50 秒。</w:t>
      </w:r>
    </w:p>
    <w:p>
      <w:pPr>
        <w:pStyle w:val="Heading2"/>
      </w:pPr>
      <w:r>
        <w:t>6.6 体检报告 OCR 与健康档案</w:t>
      </w:r>
    </w:p>
    <w:p>
      <w:r>
        <w:t>普通用户确认健康数据外发授权，上传脱敏报告原图。OCR 结果交给健康分析服务提取检查日期、机构和报告中实际出现的指标，不要求用户先创建常用指标。用户核对后保存，进入健康档案查看风险分级、异常指标和建议。建议用时 60 秒。</w:t>
      </w:r>
    </w:p>
    <w:p>
      <w:r>
        <w:t>讲解重点：OCR 只负责识别文本，模型只做结构化整理与一般性健康信息说明。未配置外部服务时可人工录入；结果不能替代医生诊断。</w:t>
      </w:r>
    </w:p>
    <w:p>
      <w:pPr>
        <w:pStyle w:val="Heading2"/>
      </w:pPr>
      <w:r>
        <w:t>6.7 科普投稿与审核</w:t>
      </w:r>
    </w:p>
    <w:p>
      <w:r>
        <w:t>普通用户提交短科普内容，审核员在“投稿审核”中确认，普通用户刷新科普频道后看到文章。点赞和收藏通过后端接口持久化。建议用时 40 秒。</w:t>
      </w:r>
    </w:p>
    <w:p>
      <w:r>
        <w:br w:type="page"/>
      </w:r>
    </w:p>
    <w:p>
      <w:pPr>
        <w:pStyle w:val="Heading1"/>
      </w:pPr>
      <w:r>
        <w:t>7. 核心创新点</w:t>
      </w:r>
    </w:p>
    <w:p>
      <w:r>
        <w:t>固定与移动急救设备统一调度；三角色协同但共用页面和业务实体；志愿者响应前后实行隐私分级；只有真实道路规划成功才绘制路线；事务预留、活动锁、幂等请求和双方确认组成可靠救援状态机；OCR 识别、结构化分析和用户复核相互解耦。</w:t>
      </w:r>
    </w:p>
    <w:p>
      <w:pPr>
        <w:pStyle w:val="Heading1"/>
      </w:pPr>
      <w:r>
        <w:t>8. 异常情况处置</w:t>
      </w:r>
    </w:p>
    <w:p>
      <w:r>
        <w:t>定位权限被拒绝时由用户打开权限或主动选点，不使用固定坐标冒充当前位置；高德路线不可用时仅展示起终点；OCR 不可用时切换人工录入；模型不可用时使用本地规则或只保存报告；SSE 断开时使用定时查询；重复呼救由客户端请求号和服务端活动锁阻止；角色变更后退出并重新登录。</w:t>
      </w:r>
    </w:p>
    <w:p>
      <w:pPr>
        <w:pStyle w:val="Heading1"/>
      </w:pPr>
      <w:r>
        <w:t>9. 安全与伦理说明</w:t>
      </w:r>
    </w:p>
    <w:p>
      <w:r>
        <w:t>本作品用于辅助信息组织和救援协同，不能替代 120、专业急救人员或医疗诊断。演示不得使用真实患者身份、未经同意的体检报告或真实紧急事件。图片由服务端重编码并清除 EXIF，私有媒体通过短时授权访问；密码使用 BCrypt，接口使用 JWT，业务权限在服务端校验；OCR 与模型只有在用户明确授权后才能调用。</w:t>
      </w:r>
    </w:p>
    <w:p>
      <w:pPr>
        <w:pStyle w:val="Heading1"/>
      </w:pPr>
      <w:r>
        <w:t>10. 答辩常见问题</w:t>
      </w:r>
    </w:p>
    <w:p>
      <w:pPr>
        <w:pStyle w:val="Heading2"/>
      </w:pPr>
      <w:r>
        <w:t>10.1 为什么不用前端身份切换？</w:t>
      </w:r>
    </w:p>
    <w:p>
      <w:r>
        <w:t>身份切换无法证明真实鉴权，也容易把权限逻辑留在客户端。当前版本只保留真实注册、登录和服务端角色授权，三门户由同一账户体系进入。</w:t>
      </w:r>
    </w:p>
    <w:p>
      <w:pPr>
        <w:pStyle w:val="Heading2"/>
      </w:pPr>
      <w:r>
        <w:t>10.2 为什么地图有时不显示路径？</w:t>
      </w:r>
    </w:p>
    <w:p>
      <w:r>
        <w:t>路径必须来自高德道路规划。服务不可用时宁可只显示资源和现场位置，也不画可能穿越建筑或水面的伪路线。</w:t>
      </w:r>
    </w:p>
    <w:p>
      <w:pPr>
        <w:pStyle w:val="Heading2"/>
      </w:pPr>
      <w:r>
        <w:t>10.3 如何避免同一 AED 被多人同时占用？</w:t>
      </w:r>
    </w:p>
    <w:p>
      <w:r>
        <w:t>设备预留在事务中完成，实体带版本号；求救者还有活动救援锁。冲突请求只能有一个成功，其余请求重新匹配或失败回退。</w:t>
      </w:r>
    </w:p>
    <w:p>
      <w:pPr>
        <w:pStyle w:val="Heading2"/>
      </w:pPr>
      <w:r>
        <w:t>10.4 OCR 和模型是否直接给出诊断？</w:t>
      </w:r>
    </w:p>
    <w:p>
      <w:r>
        <w:t>不会。OCR 识别报告文字，模型整理报告中已有信息并输出一般性说明，用户复核后入档。界面持续提示结果不能替代医生诊断。</w:t>
      </w:r>
    </w:p>
    <w:p>
      <w:pPr>
        <w:pStyle w:val="Heading2"/>
      </w:pPr>
      <w:r>
        <w:t>10.5 没有预置数据如何比赛演示？</w:t>
      </w:r>
    </w:p>
    <w:p>
      <w:r>
        <w:t>演示前用三组临时手机号正常注册，在管理员端授权角色，再通过真实操作产生设备、救援、体检和投稿记录。这样每条数据都有明确来源和跨端状态变化。</w:t>
      </w:r>
    </w:p>
    <w:p>
      <w:pPr>
        <w:pStyle w:val="Heading1"/>
      </w:pPr>
      <w:r>
        <w:t>11. 演示结束</w:t>
      </w:r>
    </w:p>
    <w:p>
      <w:r>
        <w:t>退出全部账户，清理现场临时数据库和上传媒体，关闭临时 OCR/模型密钥，保留构建日志和验收记录。源代码仓库不写入现场账号、密码或业务数据。</w:t>
      </w:r>
    </w:p>
    <w:sectPr>
      <w:headerReference xmlns:r="http://schemas.openxmlformats.org/officeDocument/2006/relationships" w:type="default" r:id="R9989e6b76a0a4e0f"/>
      <w:footerReference xmlns:r="http://schemas.openxmlformats.org/officeDocument/2006/relationships" w:type="default" r:id="R7adfa895f95c4287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版本 1.0.0</w:t>
    </w:r>
    <w:r>
      <w:t xml:space="preserve"> —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脉安驰援 · 竞赛演示说明书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Calibri Light" w:hAnsi="Calibri Light"/>
      <w:sz w:val="52"/>
      <w:szCs w:val="5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Calibri Light" w:hAnsi="Calibri Light"/>
      <w:sz w:val="40"/>
      <w:szCs w:val="40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Calibri Light" w:hAnsi="Calibri Light"/>
      <w:sz w:val="32"/>
      <w:szCs w:val="32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Calibri Light" w:hAnsi="Calibri Light"/>
      <w:sz w:val="28"/>
      <w:szCs w:val="28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Calibri Light" w:hAnsi="Calibri Light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Calibri Light" w:hAnsi="Calibri Light"/>
      <w:sz w:val="22"/>
      <w:szCs w:val="22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Calibri Light" w:hAnsi="Calibri Light"/>
      <w:sz w:val="64"/>
      <w:szCs w:val="6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2362e2faaaf494b" /><Relationship Type="http://schemas.openxmlformats.org/officeDocument/2006/relationships/header" Target="/word/header1.xml" Id="R9989e6b76a0a4e0f" /><Relationship Type="http://schemas.openxmlformats.org/officeDocument/2006/relationships/footer" Target="/word/footer1.xml" Id="R7adfa895f95c4287" /></Relationships>
</file>