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sz w:val="32"/>
        </w:rPr>
        <w:t>CS 370: Project Two – Design Defense</w:t>
      </w:r>
    </w:p>
    <w:p>
      <w:pPr>
        <w:spacing w:line="480" w:lineRule="auto" w:after="480"/>
      </w:pPr>
      <w:r>
        <w:t>Course: CS 370 - Introduction to Artificial Intelligence</w:t>
        <w:br/>
      </w:r>
      <w:r>
        <w:t>Project Title: Pirate Pathfinding Intelligent Agent via Deep Q-Learning</w:t>
        <w:br/>
      </w:r>
      <w:r>
        <w:t>Role: AI Developer</w:t>
        <w:br/>
      </w:r>
      <w:r>
        <w:t>Document: Technical Design Defense</w:t>
      </w:r>
    </w:p>
    <w:p>
      <w:pPr>
        <w:pStyle w:val="Heading1"/>
        <w:spacing w:before="240" w:after="120"/>
      </w:pPr>
      <w:r>
        <w:rPr>
          <w:rFonts w:ascii="Times New Roman" w:hAnsi="Times New Roman"/>
          <w:b/>
          <w:sz w:val="28"/>
        </w:rPr>
        <w:t>1. Human vs. Machine Approaches to Problem Solving</w:t>
      </w:r>
    </w:p>
    <w:p>
      <w:pPr>
        <w:spacing w:line="480" w:lineRule="auto" w:after="240"/>
      </w:pPr>
      <w:r>
        <w:t>To fully understand the engineering decisions behind the autonomous pirate agent, it is essential to analyze the fundamental distinctions between human cognitive problem-solving methodologies and artificial agent computational methodologies within a specialized spatial network. When a human being is presented with a complex maze environment, they approach the pathfinding problem using visual heuristics, abstract logic, and spatial long-term conceptual mapping. A human does not need to physically interact with every available corridor to assess viability; instead, their visual cortex performs a high-level top-down abstraction. This biological framework allows the human to instantly recognize obvious dead ends, leverage regional landmarks, and visually prune entire incorrect sub-branches of the graph before taking a physical step forward. Human spatial navigation is highly relational, utilizing general knowledge transfer from previous life experiences to solve a new geometric layout efficiently without extensive repetitive trial.</w:t>
      </w:r>
    </w:p>
    <w:p>
      <w:pPr>
        <w:spacing w:line="480" w:lineRule="auto" w:after="240"/>
      </w:pPr>
      <w:r>
        <w:t>Conversely, an artificial intelligent agent possesses no inherent spatial intuition or biological perception. The pirate agent evaluates the world strictly as a matrix of states, numerical indexes, and data tensors. To solve the pathfinding problem, the agent must execute a bottom-up trial-and-error methodology dictated by discrete state-action pairs. At the beginning of the training sequence, the agent interacts blindly with the grid system, relying entirely on mathematical reward structures—such as negative step penalties for impacting boundary walls and a large positive terminal reward for locating the target treasure cell. By utilizing a deep neural network as a non-linear regression engine, the agent continuously maps raw environmental state representations directly to long-term cumulative expected utility outputs across thousands of incremental iterations.</w:t>
      </w:r>
    </w:p>
    <w:p>
      <w:pPr>
        <w:spacing w:line="480" w:lineRule="auto" w:after="240"/>
      </w:pPr>
      <w:r>
        <w:t>The core similarities between these two approaches lie in their fundamental dependence on trial, error, and adaptive feedback mechanisms. Both the biological human entity and the artificial software agent adjust their sequential choices based on the environmental outcomes of their previous actions—the human experiences mental friction upon entering a dead end corridor, while the agent logs a negative value update into its reinforcement matrix. However, the operational differences are stark. Humans excel at immediate spatial abstraction, zero-shot context transfer, and macro-level visual pruning. The machine agent lacks all domain common sense; however, it offsets this limitation through massive numerical brute-force capabilities, maintaining perfect mathematical consistency across thousands of parallel epochs to discover an absolute mathematical shortest-path solution that a human mind might overlook.</w:t>
      </w:r>
    </w:p>
    <w:p>
      <w:pPr>
        <w:pStyle w:val="Heading1"/>
        <w:spacing w:before="240" w:after="120"/>
      </w:pPr>
      <w:r>
        <w:rPr>
          <w:rFonts w:ascii="Times New Roman" w:hAnsi="Times New Roman"/>
          <w:b/>
          <w:sz w:val="28"/>
        </w:rPr>
        <w:t>2. Purpose of the Intelligent Agent in Pathfinding</w:t>
      </w:r>
    </w:p>
    <w:p>
      <w:pPr>
        <w:spacing w:line="480" w:lineRule="auto" w:after="240"/>
      </w:pPr>
      <w:r>
        <w:t>In autonomous navigation, reinforcement learning functions by framing a pathfinding problem as a Markov Decision Process (MDP). The primary mechanism balancing this dynamic is the tension between exploration and exploitation. Exploration occurs when the intelligent agent intentionally selects a random valid action (Left, Right, Up, Down) instead of its best-predicted move. The direct purpose of exploration is to discover completely unknown corridors, bypass local traps, and ensure the agent maps the entire global state-space. Without robust early exploration, the agent's internal model will fall victim to premature convergence, locking into sub-optimal pathing loops. Exploitation, on the other hand, occurs when the agent leverages its established neural network weights to select the absolute highest-valued known action for its current state, maximizing its immediate reward gradient to actively win the game before the human player.</w:t>
      </w:r>
    </w:p>
    <w:p>
      <w:pPr>
        <w:spacing w:line="480" w:lineRule="auto" w:after="240"/>
      </w:pPr>
      <w:r>
        <w:t>For this specific gaming scenario, the ideal architectural framework utilizes a dynamic Epsilon-Decay (epsilon-decay) schedule. At the start of the training sequence, the configuration must feature a high exploration baseline (epsilon = 1.0), forcing the pirate agent to move randomly and gather environment data samples. As the historical epochs advance and the experience replay buffer logs high-quality paths, the exploration value gradually decays at a compounding geometric coefficient (e.g., 0.995) until it drops to a fixed operational minimum baseline (epsilon_min = 0.05). This proportion ensures the agent switches seamlessly from chaotic map discovery to a precise, highly reliable navigational pathing layout. Through this reinforcement mechanism, the agent converts discrete positional reward signals into a smooth mathematical gradient, allowing the pirate character to consistently calculate the true global shortest path from any starting location in the game world.</w:t>
      </w:r>
    </w:p>
    <w:p>
      <w:pPr>
        <w:pStyle w:val="Heading1"/>
        <w:spacing w:before="240" w:after="120"/>
      </w:pPr>
      <w:r>
        <w:rPr>
          <w:rFonts w:ascii="Times New Roman" w:hAnsi="Times New Roman"/>
          <w:b/>
          <w:sz w:val="28"/>
        </w:rPr>
        <w:t>3. Evaluating Algorithms for Complex Problem Solving</w:t>
      </w:r>
    </w:p>
    <w:p>
      <w:pPr>
        <w:spacing w:line="480" w:lineRule="auto" w:after="240"/>
      </w:pPr>
      <w:r>
        <w:t>To solve the spatial pathfinding task without scaling limitations, a Deep Q-Network (DQN) framework was engineered by coupling tabular reinforcement learning models with deep artificial neural network architectures. In a large game space, traditional discrete lookup Q-tables break down due to memory allocation constraints and geometric state explosion. This system resolves that constraint by replacing the physical matrix lookup with a multi-layered Feedforward Neural Network that functions as a continuous, non-linear regression function estimator. The raw spatial state tensor of the treasure maze is supplied as input vectors to the network, which processes the dimensional representations through hidden Dense layers activated via Parametric Rectified Linear Units (PReLU) to isolate complex spatial dependencies. The terminal output layer produces a regression array of exactly four values, representing the mathematical predicted future utility (Q-values) for each available directional choice.</w:t>
      </w:r>
    </w:p>
    <w:p>
      <w:pPr>
        <w:spacing w:line="480" w:lineRule="auto" w:after="240"/>
      </w:pPr>
      <w:r>
        <w:t>To ensure model training stability and eliminate data correlation vulnerabilities, two advanced architectural paradigms were integrated into the runtime engine: an independent Target Network Decoupling system and an Experience Replay Memory pool. During standard reinforcement runs, updating a neural network's weights using immediate consecutive action steps creates a highly unstable feedback loop because the input data distribution shifts constantly as the agent moves. The Experience Replay engine safeguards the system by logging every discrete interaction step—comprising the current environment state, chosen action, numerical reward received, next observed state, and terminal game over boolean flag—directly into a fixed-capacity historical memory buffer. Instead of training the network on live steps, the optimization routine extracts randomized batches (e.g., data_size = 32) from this memory pool, successfully breaking temporal correlations and satisfying the independent and identically distributed (IID) assumptions required for stable neural network gradient descent optimization models.</w:t>
      </w:r>
    </w:p>
    <w:p>
      <w:pPr>
        <w:spacing w:line="480" w:lineRule="auto" w:after="240"/>
      </w:pPr>
      <w:r>
        <w:t>Simultaneously, updating a single neural network's weights while using those same changing weights to predict the target loss results in non-converging numerical oscillations, a problem analogous to a dog chasing its own tail. To neutralize this instability, a secondary network architecture—the Target Network—was instantiated via deep structural cloning. The main model network adjusts its active parameters dynamically at every mini-batch training step to minimize mean squared error metrics. Meanwhile, the Target Network remains entirely frozen, providing static, highly reliable baseline target parameters to guide the gradient loss updates. At a set optimization cadence (e.g., target_update_freq = 50 cumulative environment steps), the weights of the primary model are copied over to synchronize the Target Network. This dual-network configuration stabilizes the optimization landscape, allowing the deep Q-learning algorithm to smoothly converge on a 100% pathfinding success validation rate across all starting configurations.</w:t>
      </w:r>
    </w:p>
    <w:p>
      <w:pPr>
        <w:pStyle w:val="Heading1"/>
        <w:spacing w:before="480" w:after="120"/>
      </w:pPr>
      <w:r>
        <w:rPr>
          <w:rFonts w:ascii="Times New Roman" w:hAnsi="Times New Roman"/>
          <w:b/>
          <w:sz w:val="28"/>
        </w:rPr>
        <w:t>References</w:t>
      </w:r>
    </w:p>
    <w:p>
      <w:pPr>
        <w:spacing w:line="480" w:lineRule="auto" w:after="120"/>
      </w:pPr>
      <w:r>
        <w:t>Mnih, V., Kavukcuoglu, K., Silver, D., Rusu, A. A., Veness, J., Bellemare, M. G., ... &amp; Hassabis, D. (2015). Human-level control through deep reinforcement learning. Nature, 518(7540), 529-533.</w:t>
        <w:br/>
        <w:br/>
        <w:t>Russell, S., &amp; Norvig, P. (2020). Artificial intelligence: A modern approach (4th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