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0a07322913c5ce7a3e6e7686a802b52021bd84"/>
    <w:p>
      <w:pPr>
        <w:pStyle w:val="Heading2"/>
      </w:pPr>
      <w:r>
        <w:t xml:space="preserve">Лабораторная работа 5: Работа с интерфейсом RS-485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интерфейс RS-485 и его принцип работы.</w:t>
      </w:r>
    </w:p>
    <w:p>
      <w:pPr>
        <w:numPr>
          <w:ilvl w:val="0"/>
          <w:numId w:val="1001"/>
        </w:numPr>
        <w:pStyle w:val="Compact"/>
      </w:pPr>
      <w:r>
        <w:t xml:space="preserve">Подключить устройство с интерфейсом RS-485 к ESP32.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обмена данными с устройством по RS-485.</w:t>
      </w:r>
    </w:p>
    <w:p>
      <w:pPr>
        <w:numPr>
          <w:ilvl w:val="0"/>
          <w:numId w:val="1001"/>
        </w:numPr>
        <w:pStyle w:val="Compact"/>
      </w:pPr>
      <w:r>
        <w:t xml:space="preserve">Интегрировать RS-485 с I2C и GPIO для решения комплексной задачи.</w:t>
      </w:r>
    </w:p>
    <w:bookmarkEnd w:id="20"/>
    <w:bookmarkStart w:id="23" w:name="теоретическая-часть"/>
    <w:p>
      <w:pPr>
        <w:pStyle w:val="Heading2"/>
      </w:pPr>
      <w:r>
        <w:t xml:space="preserve">Теоретическая часть</w:t>
      </w:r>
    </w:p>
    <w:bookmarkStart w:id="21" w:name="интерфейс-rs-485"/>
    <w:p>
      <w:pPr>
        <w:pStyle w:val="Heading3"/>
      </w:pPr>
      <w:r>
        <w:t xml:space="preserve">Интерфейс RS-485</w:t>
      </w:r>
    </w:p>
    <w:p>
      <w:pPr>
        <w:pStyle w:val="FirstParagraph"/>
      </w:pPr>
      <w:r>
        <w:t xml:space="preserve">RS-485 (Recommended Standard 485) - это полудуплексный последовательный интерфейс, предназначенный для многоточечной связи. Он позволяет подключать к одной шине несколько устройств, используя всего два провода: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 (Data +):</w:t>
      </w:r>
      <w:r>
        <w:t xml:space="preserve"> </w:t>
      </w:r>
      <w:r>
        <w:t xml:space="preserve">Линия передачи данных.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 (Data -):</w:t>
      </w:r>
      <w:r>
        <w:t xml:space="preserve"> </w:t>
      </w:r>
      <w:r>
        <w:t xml:space="preserve">Линия приема данных.</w:t>
      </w:r>
    </w:p>
    <w:p>
      <w:pPr>
        <w:pStyle w:val="FirstParagraph"/>
      </w:pPr>
      <w:r>
        <w:rPr>
          <w:bCs/>
          <w:b/>
        </w:rPr>
        <w:t xml:space="preserve">Принцип работы: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Устройство-ведущий:</w:t>
      </w:r>
      <w:r>
        <w:t xml:space="preserve"> </w:t>
      </w:r>
      <w:r>
        <w:t xml:space="preserve">Инициирует сеанс связи, выбирая адрес устройства-ведомого.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Устройство-ведомое:</w:t>
      </w:r>
      <w:r>
        <w:t xml:space="preserve"> </w:t>
      </w:r>
      <w:r>
        <w:t xml:space="preserve">Отвечает на запрос ведущего, подтверждая свое присутствие.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Передача данных:</w:t>
      </w:r>
      <w:r>
        <w:t xml:space="preserve"> </w:t>
      </w:r>
      <w:r>
        <w:t xml:space="preserve">Ведущий отправляет данные ведомому или наоборот, в зависимости от типа операции.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Завершение сеанса:</w:t>
      </w:r>
      <w:r>
        <w:t xml:space="preserve"> </w:t>
      </w:r>
      <w:r>
        <w:t xml:space="preserve">Ведущий освобождает шину, позволяя другим устройствам инициировать новые сеансы.</w:t>
      </w:r>
    </w:p>
    <w:p>
      <w:pPr>
        <w:pStyle w:val="FirstParagraph"/>
      </w:pPr>
      <w:r>
        <w:rPr>
          <w:bCs/>
          <w:b/>
        </w:rPr>
        <w:t xml:space="preserve">Преимущества RS-485: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Многоточечная связь:</w:t>
      </w:r>
      <w:r>
        <w:t xml:space="preserve"> </w:t>
      </w:r>
      <w:r>
        <w:t xml:space="preserve">Поддержка до 32 устройств на одной шине.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Большая дальность:</w:t>
      </w:r>
      <w:r>
        <w:t xml:space="preserve"> </w:t>
      </w:r>
      <w:r>
        <w:t xml:space="preserve">До 1200 м при скорости 9600 бит/с.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Помехоустойчивость:</w:t>
      </w:r>
      <w:r>
        <w:t xml:space="preserve"> </w:t>
      </w:r>
      <w:r>
        <w:t xml:space="preserve">Стойкость к электромагнитным помехам.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Низкая стоимость:</w:t>
      </w:r>
      <w:r>
        <w:t xml:space="preserve"> </w:t>
      </w:r>
      <w:r>
        <w:t xml:space="preserve">Простота реализации.</w:t>
      </w:r>
    </w:p>
    <w:bookmarkEnd w:id="21"/>
    <w:bookmarkStart w:id="22" w:name="подключение-rs-485-к-esp32"/>
    <w:p>
      <w:pPr>
        <w:pStyle w:val="Heading3"/>
      </w:pPr>
      <w:r>
        <w:t xml:space="preserve">Подключение RS-485 к ESP32</w:t>
      </w:r>
    </w:p>
    <w:p>
      <w:pPr>
        <w:pStyle w:val="FirstParagraph"/>
      </w:pPr>
      <w:r>
        <w:t xml:space="preserve">Для работы с RS-485 на ESP32 необходимо использовать библиотеку</w:t>
      </w:r>
      <w:r>
        <w:t xml:space="preserve"> </w:t>
      </w:r>
      <w:r>
        <w:rPr>
          <w:rStyle w:val="VerbatimChar"/>
        </w:rPr>
        <w:t xml:space="preserve">RS485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 подключения устройства с RS-485 к ESP32:</w:t>
      </w:r>
    </w:p>
    <w:p>
      <w:pPr>
        <w:numPr>
          <w:ilvl w:val="0"/>
          <w:numId w:val="1005"/>
        </w:numPr>
        <w:pStyle w:val="Compact"/>
      </w:pPr>
      <w:r>
        <w:t xml:space="preserve">Подключите A (Data +) устройства к A ESP32.</w:t>
      </w:r>
    </w:p>
    <w:p>
      <w:pPr>
        <w:numPr>
          <w:ilvl w:val="0"/>
          <w:numId w:val="1005"/>
        </w:numPr>
        <w:pStyle w:val="Compact"/>
      </w:pPr>
      <w:r>
        <w:t xml:space="preserve">Подключите B (Data -) устройства к B ESP32.</w:t>
      </w:r>
    </w:p>
    <w:p>
      <w:pPr>
        <w:numPr>
          <w:ilvl w:val="0"/>
          <w:numId w:val="1005"/>
        </w:numPr>
        <w:pStyle w:val="Compact"/>
      </w:pPr>
      <w:r>
        <w:t xml:space="preserve">Подключите питание устройства к 3.3 В ESP32.</w:t>
      </w:r>
    </w:p>
    <w:p>
      <w:pPr>
        <w:numPr>
          <w:ilvl w:val="0"/>
          <w:numId w:val="1005"/>
        </w:numPr>
        <w:pStyle w:val="Compact"/>
      </w:pPr>
      <w:r>
        <w:t xml:space="preserve">Подключите землю устройства к земле ESP32.</w:t>
      </w:r>
    </w:p>
    <w:p>
      <w:pPr>
        <w:pStyle w:val="FirstParagraph"/>
      </w:pPr>
      <w:r>
        <w:rPr>
          <w:bCs/>
          <w:b/>
        </w:rPr>
        <w:t xml:space="preserve">Пример кода для обмена данными с устройством по RS-485: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&lt;RS485.h&gt;</w:t>
      </w:r>
      <w:r>
        <w:br/>
      </w:r>
      <w:r>
        <w:br/>
      </w:r>
      <w:r>
        <w:rPr>
          <w:rStyle w:val="PreprocessorTok"/>
        </w:rPr>
        <w:t xml:space="preserve">#define RS485_ADDRESS </w:t>
      </w:r>
      <w:r>
        <w:rPr>
          <w:rStyle w:val="BaseNTok"/>
        </w:rPr>
        <w:t xml:space="preserve">0x01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Адрес устройства</w:t>
      </w:r>
      <w:r>
        <w:br/>
      </w:r>
      <w:r>
        <w:br/>
      </w:r>
      <w:r>
        <w:rPr>
          <w:rStyle w:val="NormalTok"/>
        </w:rPr>
        <w:t xml:space="preserve">RS485 rs485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RS485_RE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RS485_DE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Создание объекта RS485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UART</w:t>
      </w:r>
      <w:r>
        <w:br/>
      </w:r>
      <w:r>
        <w:rPr>
          <w:rStyle w:val="NormalTok"/>
        </w:rPr>
        <w:t xml:space="preserve">  rs485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57600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RS-485 с baud rate 57600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Отправка данных устройству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rs485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RS485_ADDRESS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"Данные отправлены!"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Задержка перед приемом данных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Прием данных от устройства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rxData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rxLen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rs485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rxData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rxData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rxLen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"Полученные данные: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rxLen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rxData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rxLen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Интеграция RS-485 с I2C и GPIO:</w:t>
      </w:r>
    </w:p>
    <w:p>
      <w:pPr>
        <w:pStyle w:val="BodyText"/>
      </w:pPr>
      <w:r>
        <w:t xml:space="preserve">RS-485 можно использовать для считывания данных с датчиков, подключенных к I2C, и передачи этих данных на другие устройства по сети RS-485. GPIO можно использовать для управления устройствами на основе полученных данных.</w:t>
      </w:r>
    </w:p>
    <w:bookmarkEnd w:id="22"/>
    <w:bookmarkEnd w:id="23"/>
    <w:bookmarkStart w:id="24" w:name="задача"/>
    <w:p>
      <w:pPr>
        <w:pStyle w:val="Heading2"/>
      </w:pPr>
      <w:r>
        <w:t xml:space="preserve">Задача:</w:t>
      </w:r>
    </w:p>
    <w:p>
      <w:pPr>
        <w:pStyle w:val="FirstParagraph"/>
      </w:pPr>
      <w:r>
        <w:rPr>
          <w:bCs/>
          <w:b/>
        </w:rPr>
        <w:t xml:space="preserve">Задача:</w:t>
      </w:r>
      <w:r>
        <w:t xml:space="preserve"> </w:t>
      </w:r>
      <w:r>
        <w:t xml:space="preserve">Считывать данные о температуре и влажности с датчика DHT22, подключенного по I2C, и передавать их другому устройству по сети RS-485. По достижении определенных значений температуры или влажности включать светодиод (подключенный к GPIO) с помощью сигнала RS-485.</w:t>
      </w:r>
    </w:p>
    <w:p>
      <w:pPr>
        <w:pStyle w:val="BodyText"/>
      </w:pPr>
      <w:r>
        <w:rPr>
          <w:bCs/>
          <w:b/>
        </w:rPr>
        <w:t xml:space="preserve">Отчёт:</w:t>
      </w:r>
      <w:r>
        <w:rPr>
          <w:bCs/>
          <w:b/>
        </w:rPr>
        <w:t xml:space="preserve"> </w:t>
      </w:r>
      <w:r>
        <w:t xml:space="preserve"> </w:t>
      </w:r>
      <w:r>
        <w:t xml:space="preserve">* Опишите</w:t>
      </w:r>
      <w:r>
        <w:t xml:space="preserve"> </w:t>
      </w:r>
      <w:r>
        <w:rPr>
          <w:bCs/>
          <w:b/>
        </w:rPr>
        <w:t xml:space="preserve">схему подключения</w:t>
      </w:r>
      <w:r>
        <w:t xml:space="preserve"> </w:t>
      </w:r>
      <w:r>
        <w:t xml:space="preserve">устройств.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Предоставьте код</w:t>
      </w:r>
      <w:r>
        <w:t xml:space="preserve"> </w:t>
      </w:r>
      <w:r>
        <w:t xml:space="preserve">для выполнения задачи.</w:t>
      </w:r>
    </w:p>
    <w:bookmarkEnd w:id="24"/>
    <w:bookmarkStart w:id="25" w:name="пример-кода-для-лабораторной-работы"/>
    <w:p>
      <w:pPr>
        <w:pStyle w:val="Heading2"/>
      </w:pPr>
      <w:r>
        <w:t xml:space="preserve">Пример кода для лабораторной работы :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DHT22:</w:t>
      </w:r>
    </w:p>
    <w:p>
      <w:pPr>
        <w:numPr>
          <w:ilvl w:val="1"/>
          <w:numId w:val="1007"/>
        </w:numPr>
        <w:pStyle w:val="Compact"/>
      </w:pPr>
      <w:r>
        <w:t xml:space="preserve">VCC - 3.3V ESP32</w:t>
      </w:r>
    </w:p>
    <w:p>
      <w:pPr>
        <w:numPr>
          <w:ilvl w:val="1"/>
          <w:numId w:val="1007"/>
        </w:numPr>
        <w:pStyle w:val="Compact"/>
      </w:pPr>
      <w:r>
        <w:t xml:space="preserve">GND - GND ESP32</w:t>
      </w:r>
    </w:p>
    <w:p>
      <w:pPr>
        <w:numPr>
          <w:ilvl w:val="1"/>
          <w:numId w:val="1007"/>
        </w:numPr>
        <w:pStyle w:val="Compact"/>
      </w:pPr>
      <w:r>
        <w:t xml:space="preserve">DATA - GPIO пин ESP32 (например, GPIO 2)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Светодиод:</w:t>
      </w:r>
    </w:p>
    <w:p>
      <w:pPr>
        <w:numPr>
          <w:ilvl w:val="1"/>
          <w:numId w:val="1008"/>
        </w:numPr>
        <w:pStyle w:val="Compact"/>
      </w:pPr>
      <w:r>
        <w:t xml:space="preserve">Anode - GPIO пин ESP32 (например, GPIO 13)</w:t>
      </w:r>
    </w:p>
    <w:p>
      <w:pPr>
        <w:numPr>
          <w:ilvl w:val="1"/>
          <w:numId w:val="1008"/>
        </w:numPr>
        <w:pStyle w:val="Compact"/>
      </w:pPr>
      <w:r>
        <w:t xml:space="preserve">Катод - GND ESP32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Устройство RS-485:</w:t>
      </w:r>
    </w:p>
    <w:p>
      <w:pPr>
        <w:numPr>
          <w:ilvl w:val="1"/>
          <w:numId w:val="1009"/>
        </w:numPr>
        <w:pStyle w:val="Compact"/>
      </w:pPr>
      <w:r>
        <w:t xml:space="preserve">A (Data +) - A ESP32</w:t>
      </w:r>
    </w:p>
    <w:p>
      <w:pPr>
        <w:numPr>
          <w:ilvl w:val="1"/>
          <w:numId w:val="1009"/>
        </w:numPr>
        <w:pStyle w:val="Compact"/>
      </w:pPr>
      <w:r>
        <w:t xml:space="preserve">B (Data -) - B ESP32</w:t>
      </w:r>
    </w:p>
    <w:p>
      <w:pPr>
        <w:numPr>
          <w:ilvl w:val="1"/>
          <w:numId w:val="1009"/>
        </w:numPr>
        <w:pStyle w:val="Compact"/>
      </w:pPr>
      <w:r>
        <w:t xml:space="preserve">VCC - 3.3V ESP32</w:t>
      </w:r>
    </w:p>
    <w:p>
      <w:pPr>
        <w:numPr>
          <w:ilvl w:val="1"/>
          <w:numId w:val="1009"/>
        </w:numPr>
        <w:pStyle w:val="Compact"/>
      </w:pPr>
      <w:r>
        <w:t xml:space="preserve">GND - GND ESP32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&lt;DHT.h&gt;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&lt;RS485.h&gt;</w:t>
      </w:r>
      <w:r>
        <w:br/>
      </w:r>
      <w:r>
        <w:br/>
      </w:r>
      <w:r>
        <w:rPr>
          <w:rStyle w:val="PreprocessorTok"/>
        </w:rPr>
        <w:t xml:space="preserve">#define DHTPIN </w:t>
      </w:r>
      <w:r>
        <w:rPr>
          <w:rStyle w:val="DecValTok"/>
        </w:rPr>
        <w:t xml:space="preserve">2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GPIO пин для DHT22</w:t>
      </w:r>
      <w:r>
        <w:br/>
      </w:r>
      <w:r>
        <w:rPr>
          <w:rStyle w:val="PreprocessorTok"/>
        </w:rPr>
        <w:t xml:space="preserve">#define DHTTYPE </w:t>
      </w:r>
      <w:r>
        <w:rPr>
          <w:rStyle w:val="NormalTok"/>
        </w:rPr>
        <w:t xml:space="preserve">DHT22</w:t>
      </w:r>
      <w:r>
        <w:br/>
      </w:r>
      <w:r>
        <w:br/>
      </w:r>
      <w:r>
        <w:rPr>
          <w:rStyle w:val="NormalTok"/>
        </w:rPr>
        <w:t xml:space="preserve">DHT dht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DHTPIN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DHTTYPE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Объект для датчика DHT22</w:t>
      </w:r>
      <w:r>
        <w:br/>
      </w:r>
      <w:r>
        <w:br/>
      </w:r>
      <w:r>
        <w:rPr>
          <w:rStyle w:val="PreprocessorTok"/>
        </w:rPr>
        <w:t xml:space="preserve">#define RS485_ADDRESS </w:t>
      </w:r>
      <w:r>
        <w:rPr>
          <w:rStyle w:val="BaseNTok"/>
        </w:rPr>
        <w:t xml:space="preserve">0x01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Адрес устройства RS-485</w:t>
      </w:r>
      <w:r>
        <w:br/>
      </w:r>
      <w:r>
        <w:rPr>
          <w:rStyle w:val="PreprocessorTok"/>
        </w:rPr>
        <w:t xml:space="preserve">#define TEMPERATURE_THRESHOLD </w:t>
      </w:r>
      <w:r>
        <w:rPr>
          <w:rStyle w:val="DecValTok"/>
        </w:rPr>
        <w:t xml:space="preserve">25</w:t>
      </w:r>
      <w:r>
        <w:br/>
      </w:r>
      <w:r>
        <w:rPr>
          <w:rStyle w:val="PreprocessorTok"/>
        </w:rPr>
        <w:t xml:space="preserve">#define HUMIDITY_THRESHOLD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RS485 rs485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RS485_RE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RS485_DE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Объект RS485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rs485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RS-485 с baud rate 9600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GPIO пина для светодиода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 DHT22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Проверка на ошибки чтения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isnan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isnan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 чтения с датчика DHT22!"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Формирование сообщения для отправки по RS-485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Флаг тревоги (изначально не установлен)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Отправка данных по RS-485</w:t>
      </w:r>
      <w:r>
        <w:br/>
      </w:r>
      <w:r>
        <w:rPr>
          <w:rStyle w:val="NormalTok"/>
        </w:rPr>
        <w:t xml:space="preserve">  rs485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RS485_ADDRESS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Управление светодиодом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TEMPERATURE_THRESHOLD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HUMIDITY_THRESHOLD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Установить флаг тревоги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Включить светодиод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Выключить светодиод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данных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"Температура: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"Влажность: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%"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bookmarkEnd w:id="25"/>
    <w:bookmarkStart w:id="26" w:name="подключение-датчика-dht22"/>
    <w:p>
      <w:pPr>
        <w:pStyle w:val="Heading2"/>
      </w:pPr>
      <w:r>
        <w:t xml:space="preserve">Подключение датчика DHT22: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DHT22 (VCC)                      |</w:t>
      </w:r>
      <w:r>
        <w:br/>
      </w:r>
      <w:r>
        <w:rPr>
          <w:rStyle w:val="VerbatimChar"/>
        </w:rPr>
        <w:t xml:space="preserve">|    GPIO 2 &lt;--&gt; DHT22 (DATA)                     |</w:t>
      </w:r>
      <w:r>
        <w:br/>
      </w:r>
      <w:r>
        <w:rPr>
          <w:rStyle w:val="VerbatimChar"/>
        </w:rPr>
        <w:t xml:space="preserve">|    GND   &lt;--&gt; DHT22 (GND)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26"/>
    <w:bookmarkStart w:id="27" w:name="подключение-светодиода"/>
    <w:p>
      <w:pPr>
        <w:pStyle w:val="Heading2"/>
      </w:pPr>
      <w:r>
        <w:t xml:space="preserve">Подключение светодиода: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GPIO 13 &lt;--&gt; Светодиод (анод)                |</w:t>
      </w:r>
      <w:r>
        <w:br/>
      </w:r>
      <w:r>
        <w:rPr>
          <w:rStyle w:val="VerbatimChar"/>
        </w:rPr>
        <w:t xml:space="preserve">|    GND   &lt;--&gt; Светодиод (катод)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27"/>
    <w:bookmarkStart w:id="28" w:name="подключение-устройства-rs-485"/>
    <w:p>
      <w:pPr>
        <w:pStyle w:val="Heading2"/>
      </w:pPr>
      <w:r>
        <w:t xml:space="preserve">Подключение устройства RS-485: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Устройство RS-485 (VCC)          |</w:t>
      </w:r>
      <w:r>
        <w:br/>
      </w:r>
      <w:r>
        <w:rPr>
          <w:rStyle w:val="VerbatimChar"/>
        </w:rPr>
        <w:t xml:space="preserve">|    A      &lt;--&gt; Устройство RS-485 (A)            |</w:t>
      </w:r>
      <w:r>
        <w:br/>
      </w:r>
      <w:r>
        <w:rPr>
          <w:rStyle w:val="VerbatimChar"/>
        </w:rPr>
        <w:t xml:space="preserve">|    B      &lt;--&gt; Устройство RS-485 (B)            |</w:t>
      </w:r>
      <w:r>
        <w:br/>
      </w:r>
      <w:r>
        <w:rPr>
          <w:rStyle w:val="VerbatimChar"/>
        </w:rPr>
        <w:t xml:space="preserve">|    GND   &lt;--&gt; Устройство RS-485 (GND)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2024-06-14T12:01:05Z</dcterms:created>
  <dcterms:modified xsi:type="dcterms:W3CDTF">2024-06-14T12:01:05Z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