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PROPUESTA COMERCIAL · TRANSDIVISAS S.A.S.</w:t>
      </w:r>
    </w:p>
    <w:p>
      <w:pPr>
        <w:pStyle w:val="Title"/>
      </w:pPr>
      <w:r>
        <w:t>Tu casa de cambio,</w:t>
        <w:br/>
        <w:t>bajo control.</w:t>
      </w:r>
    </w:p>
    <w:p>
      <w:r>
        <w:t>Currency Exchange by JokerLabs · Planes y precios</w:t>
        <w:br/>
        <w:t>Versión 2.0 · 16 de octubre de 2026</w:t>
      </w:r>
    </w:p>
    <w:p>
      <w:r>
        <w:t>Conecta clientes, compra y venta de divisas, caja, permisos y reportes en un mismo entorno. Revisa lo que ocurre en cada sede y conserva el contexto de tus operaciones para tomar decisiones con información.</w:t>
      </w:r>
    </w:p>
    <w:p>
      <w:pPr>
        <w:pStyle w:val="Heading2"/>
      </w:pPr>
      <w:r>
        <w:t>Dos planes. Un mismo núcleo operativo.</w:t>
      </w:r>
    </w:p>
    <w:tbl>
      <w:tblPr>
        <w:tblW w:type="auto" w:w="0"/>
        <w:jc w:val="center"/>
        <w:tblLayout w:type="fixed"/>
        <w:tblLook w:firstColumn="1" w:firstRow="1" w:lastColumn="0" w:lastRow="0" w:noHBand="0" w:noVBand="1" w:val="04A0"/>
      </w:tblPr>
      <w:tblGrid>
        <w:gridCol w:w="3456"/>
        <w:gridCol w:w="3168"/>
        <w:gridCol w:w="3168"/>
      </w:tblGrid>
      <w:tr>
        <w:trPr>
          <w:tblHeader/>
        </w:trPr>
        <w:tc>
          <w:tcPr>
            <w:tcW w:type="dxa" w:w="3298"/>
            <w:shd w:fill="102A43"/>
          </w:tcPr>
          <w:p>
            <w:pPr>
              <w:spacing w:after="100" w:before="80"/>
            </w:pPr>
            <w:r>
              <w:rPr>
                <w:b/>
                <w:color w:val="FFFFFF"/>
                <w:sz w:val="18"/>
              </w:rPr>
              <w:t>Condición comercial</w:t>
            </w:r>
          </w:p>
        </w:tc>
        <w:tc>
          <w:tcPr>
            <w:tcW w:type="dxa" w:w="3298"/>
            <w:shd w:fill="102A43"/>
          </w:tcPr>
          <w:p>
            <w:pPr>
              <w:spacing w:after="100" w:before="80"/>
            </w:pPr>
            <w:r>
              <w:rPr>
                <w:b/>
                <w:color w:val="FFFFFF"/>
                <w:sz w:val="18"/>
              </w:rPr>
              <w:t>CORE</w:t>
            </w:r>
          </w:p>
        </w:tc>
        <w:tc>
          <w:tcPr>
            <w:tcW w:type="dxa" w:w="3298"/>
            <w:shd w:fill="102A43"/>
          </w:tcPr>
          <w:p>
            <w:pPr>
              <w:spacing w:after="100" w:before="80"/>
            </w:pPr>
            <w:r>
              <w:rPr>
                <w:b/>
                <w:color w:val="FFFFFF"/>
                <w:sz w:val="18"/>
              </w:rPr>
              <w:t>GROWTH</w:t>
            </w:r>
          </w:p>
        </w:tc>
      </w:tr>
      <w:tr>
        <w:trPr>
          <w:cantSplit/>
        </w:trPr>
        <w:tc>
          <w:tcPr>
            <w:tcW w:type="dxa" w:w="3456"/>
            <w:vAlign w:val="top"/>
            <w:shd w:fill="F0F6F8"/>
          </w:tcPr>
          <w:p>
            <w:pPr>
              <w:spacing w:after="100" w:before="80"/>
            </w:pPr>
            <w:r>
              <w:rPr>
                <w:sz w:val="18"/>
              </w:rPr>
              <w:t>Precio anual</w:t>
            </w:r>
          </w:p>
        </w:tc>
        <w:tc>
          <w:tcPr>
            <w:tcW w:type="dxa" w:w="3168"/>
            <w:vAlign w:val="top"/>
            <w:shd w:fill="F0F6F8"/>
          </w:tcPr>
          <w:p>
            <w:pPr>
              <w:spacing w:after="100" w:before="80"/>
            </w:pPr>
            <w:r>
              <w:rPr>
                <w:sz w:val="18"/>
              </w:rPr>
              <w:t>$1.500.000 COP / año</w:t>
            </w:r>
          </w:p>
        </w:tc>
        <w:tc>
          <w:tcPr>
            <w:tcW w:type="dxa" w:w="3168"/>
            <w:vAlign w:val="top"/>
            <w:shd w:fill="F0F6F8"/>
          </w:tcPr>
          <w:p>
            <w:r>
              <w:t>Cotización personalizada</w:t>
            </w:r>
          </w:p>
        </w:tc>
      </w:tr>
      <w:tr>
        <w:trPr>
          <w:cantSplit/>
        </w:trPr>
        <w:tc>
          <w:tcPr>
            <w:tcW w:type="dxa" w:w="3456"/>
            <w:vAlign w:val="top"/>
          </w:tcPr>
          <w:p>
            <w:pPr>
              <w:spacing w:after="100" w:before="80"/>
            </w:pPr>
            <w:r>
              <w:rPr>
                <w:sz w:val="18"/>
              </w:rPr>
              <w:t>Lanzamiento · primer año</w:t>
            </w:r>
          </w:p>
        </w:tc>
        <w:tc>
          <w:tcPr>
            <w:tcW w:type="dxa" w:w="3168"/>
            <w:vAlign w:val="top"/>
          </w:tcPr>
          <w:p>
            <w:r>
              <w:t>$1.318.800 COP + IVA</w:t>
            </w:r>
          </w:p>
        </w:tc>
        <w:tc>
          <w:tcPr>
            <w:tcW w:type="dxa" w:w="3168"/>
            <w:vAlign w:val="top"/>
          </w:tcPr>
          <w:p>
            <w:r>
              <w:t>Cotización personalizada</w:t>
            </w:r>
          </w:p>
        </w:tc>
      </w:tr>
      <w:tr>
        <w:trPr>
          <w:cantSplit/>
        </w:trPr>
        <w:tc>
          <w:tcPr>
            <w:tcW w:type="dxa" w:w="3456"/>
            <w:vAlign w:val="top"/>
            <w:shd w:fill="F0F6F8"/>
          </w:tcPr>
          <w:p>
            <w:pPr>
              <w:spacing w:after="100" w:before="80"/>
            </w:pPr>
            <w:r>
              <w:rPr>
                <w:sz w:val="18"/>
              </w:rPr>
              <w:t>Equivalencia mensual de la anualidad de lanzamiento</w:t>
            </w:r>
          </w:p>
        </w:tc>
        <w:tc>
          <w:tcPr>
            <w:tcW w:type="dxa" w:w="3168"/>
            <w:vAlign w:val="top"/>
            <w:shd w:fill="F0F6F8"/>
          </w:tcPr>
          <w:p>
            <w:pPr>
              <w:spacing w:after="100" w:before="80"/>
            </w:pPr>
            <w:r>
              <w:rPr>
                <w:sz w:val="18"/>
              </w:rPr>
              <w:t>≈ $109.900 / mes</w:t>
            </w:r>
          </w:p>
        </w:tc>
        <w:tc>
          <w:tcPr>
            <w:tcW w:type="dxa" w:w="3168"/>
            <w:vAlign w:val="top"/>
            <w:shd w:fill="F0F6F8"/>
          </w:tcPr>
          <w:p>
            <w:r>
              <w:t>Cotización personalizada</w:t>
            </w:r>
          </w:p>
        </w:tc>
      </w:tr>
      <w:tr>
        <w:trPr>
          <w:cantSplit/>
        </w:trPr>
        <w:tc>
          <w:tcPr>
            <w:tcW w:type="dxa" w:w="3456"/>
            <w:vAlign w:val="top"/>
          </w:tcPr>
          <w:p>
            <w:pPr>
              <w:spacing w:after="100" w:before="80"/>
            </w:pPr>
            <w:r>
              <w:rPr>
                <w:sz w:val="18"/>
              </w:rPr>
              <w:t>Ahorro frente a la tarifa anual</w:t>
            </w:r>
          </w:p>
        </w:tc>
        <w:tc>
          <w:tcPr>
            <w:tcW w:type="dxa" w:w="3168"/>
            <w:vAlign w:val="top"/>
          </w:tcPr>
          <w:p>
            <w:pPr>
              <w:spacing w:after="100" w:before="80"/>
            </w:pPr>
            <w:r>
              <w:rPr>
                <w:sz w:val="18"/>
              </w:rPr>
              <w:t>$181.200</w:t>
            </w:r>
          </w:p>
        </w:tc>
        <w:tc>
          <w:tcPr>
            <w:tcW w:type="dxa" w:w="3168"/>
            <w:vAlign w:val="top"/>
          </w:tcPr>
          <w:p>
            <w:r>
              <w:t>Cotización personalizada</w:t>
            </w:r>
          </w:p>
        </w:tc>
      </w:tr>
      <w:tr>
        <w:trPr>
          <w:cantSplit/>
        </w:trPr>
        <w:tc>
          <w:tcPr>
            <w:tcW w:type="dxa" w:w="3456"/>
            <w:vAlign w:val="top"/>
            <w:shd w:fill="F0F6F8"/>
          </w:tcPr>
          <w:p>
            <w:pPr>
              <w:spacing w:after="100" w:before="80"/>
            </w:pPr>
            <w:r>
              <w:rPr>
                <w:sz w:val="18"/>
              </w:rPr>
              <w:t>Capacidad del plan</w:t>
            </w:r>
          </w:p>
        </w:tc>
        <w:tc>
          <w:tcPr>
            <w:tcW w:type="dxa" w:w="3168"/>
            <w:vAlign w:val="top"/>
            <w:shd w:fill="F0F6F8"/>
          </w:tcPr>
          <w:p>
            <w:pPr>
              <w:spacing w:after="100" w:before="80"/>
            </w:pPr>
            <w:r>
              <w:rPr>
                <w:sz w:val="18"/>
              </w:rPr>
              <w:t>1 sucursal · 4 usuarios por sucursal</w:t>
            </w:r>
          </w:p>
        </w:tc>
        <w:tc>
          <w:tcPr>
            <w:tcW w:type="dxa" w:w="3168"/>
            <w:vAlign w:val="top"/>
            <w:shd w:fill="F0F6F8"/>
          </w:tcPr>
          <w:p>
            <w:pPr>
              <w:spacing w:after="100" w:before="80"/>
            </w:pPr>
            <w:r>
              <w:rPr>
                <w:sz w:val="18"/>
              </w:rPr>
              <w:t>De 2 a 5 sucursales · 4 usuarios por sucursal</w:t>
            </w:r>
          </w:p>
        </w:tc>
      </w:tr>
      <w:tr>
        <w:trPr>
          <w:cantSplit/>
        </w:trPr>
        <w:tc>
          <w:tcPr>
            <w:tcW w:type="dxa" w:w="3456"/>
            <w:vAlign w:val="top"/>
          </w:tcPr>
          <w:p>
            <w:pPr>
              <w:spacing w:after="100" w:before="80"/>
            </w:pPr>
            <w:r>
              <w:rPr>
                <w:sz w:val="18"/>
              </w:rPr>
              <w:t>Enfoque</w:t>
            </w:r>
          </w:p>
        </w:tc>
        <w:tc>
          <w:tcPr>
            <w:tcW w:type="dxa" w:w="3168"/>
            <w:vAlign w:val="top"/>
          </w:tcPr>
          <w:p>
            <w:pPr>
              <w:spacing w:after="100" w:before="80"/>
            </w:pPr>
            <w:r>
              <w:rPr>
                <w:sz w:val="18"/>
              </w:rPr>
              <w:t>Control de una sede</w:t>
            </w:r>
          </w:p>
        </w:tc>
        <w:tc>
          <w:tcPr>
            <w:tcW w:type="dxa" w:w="3168"/>
            <w:vAlign w:val="top"/>
          </w:tcPr>
          <w:p>
            <w:pPr>
              <w:spacing w:after="100" w:before="80"/>
            </w:pPr>
            <w:r>
              <w:rPr>
                <w:sz w:val="18"/>
              </w:rPr>
              <w:t>Gestión de varias sedes con soporte prioritario</w:t>
            </w:r>
          </w:p>
        </w:tc>
      </w:tr>
    </w:tbl>
    <w:p>
      <w:r>
        <w:t>Las equivalencias mensuales son informativas: corresponden al pago de la anualidad de lanzamiento y no constituyen una oferta de cobro mensual. La vigencia de la tarifa de lanzamiento se confirma en la propuesta aceptada.</w:t>
      </w:r>
    </w:p>
    <w:p>
      <w:pPr>
        <w:pStyle w:val="Heading2"/>
      </w:pPr>
      <w:r>
        <w:t>Empieza con una prueba de 7 días.</w:t>
      </w:r>
    </w:p>
    <w:p>
      <w:r>
        <w:t>Solicita el acceso y evalúa un flujo real de tu operación. Si adquieres una membresía anual, la prueba se extiende a un mes en total, incluidos los primeros 7 días. La compra anual es pagada; la extensión no es un mes adicional ni una promesa de devolución.</w:t>
      </w:r>
    </w:p>
    <w:p>
      <w:r>
        <w:t>Activación única: $3.000.000 COP. El calendario de cobro y su relación con la prueba y la membresía se formalizan antes de cualquier pago.</w:t>
      </w:r>
    </w:p>
    <w:p>
      <w:r>
        <w:br w:type="page"/>
      </w:r>
    </w:p>
    <w:p>
      <w:pPr>
        <w:pStyle w:val="Subtitle"/>
      </w:pPr>
      <w:r>
        <w:t>PLANES / ALCANCE</w:t>
      </w:r>
    </w:p>
    <w:p>
      <w:pPr>
        <w:pStyle w:val="Heading1"/>
      </w:pPr>
      <w:r>
        <w:t>Qué ofrece cada plan</w:t>
      </w:r>
    </w:p>
    <w:p>
      <w:r>
        <w:t>Los dos planes comparten el núcleo operativo. La elección depende principalmente del número de sedes, la distribución de usuarios y el nivel de atención acordado.</w:t>
      </w:r>
    </w:p>
    <w:tbl>
      <w:tblPr>
        <w:tblW w:type="auto" w:w="0"/>
        <w:jc w:val="center"/>
        <w:tblLayout w:type="fixed"/>
        <w:tblLook w:firstColumn="1" w:firstRow="1" w:lastColumn="0" w:lastRow="0" w:noHBand="0" w:noVBand="1" w:val="04A0"/>
      </w:tblPr>
      <w:tblGrid>
        <w:gridCol w:w="3240"/>
        <w:gridCol w:w="3240"/>
        <w:gridCol w:w="3312"/>
      </w:tblGrid>
      <w:tr>
        <w:trPr>
          <w:tblHeader/>
        </w:trPr>
        <w:tc>
          <w:tcPr>
            <w:tcW w:type="dxa" w:w="3298"/>
            <w:shd w:fill="102A43"/>
          </w:tcPr>
          <w:p>
            <w:pPr>
              <w:spacing w:after="100" w:before="80"/>
            </w:pPr>
            <w:r>
              <w:rPr>
                <w:b/>
                <w:color w:val="FFFFFF"/>
                <w:sz w:val="18"/>
              </w:rPr>
              <w:t>Capacidad y servicio</w:t>
            </w:r>
          </w:p>
        </w:tc>
        <w:tc>
          <w:tcPr>
            <w:tcW w:type="dxa" w:w="3298"/>
            <w:shd w:fill="102A43"/>
          </w:tcPr>
          <w:p>
            <w:pPr>
              <w:spacing w:after="100" w:before="80"/>
            </w:pPr>
            <w:r>
              <w:rPr>
                <w:b/>
                <w:color w:val="FFFFFF"/>
                <w:sz w:val="18"/>
              </w:rPr>
              <w:t>CORE</w:t>
            </w:r>
          </w:p>
        </w:tc>
        <w:tc>
          <w:tcPr>
            <w:tcW w:type="dxa" w:w="3298"/>
            <w:shd w:fill="102A43"/>
          </w:tcPr>
          <w:p>
            <w:pPr>
              <w:spacing w:after="100" w:before="80"/>
            </w:pPr>
            <w:r>
              <w:rPr>
                <w:b/>
                <w:color w:val="FFFFFF"/>
                <w:sz w:val="18"/>
              </w:rPr>
              <w:t>GROWTH</w:t>
            </w:r>
          </w:p>
        </w:tc>
      </w:tr>
      <w:tr>
        <w:trPr>
          <w:cantSplit/>
        </w:trPr>
        <w:tc>
          <w:tcPr>
            <w:tcW w:type="dxa" w:w="3240"/>
            <w:vAlign w:val="top"/>
            <w:shd w:fill="F0F6F8"/>
          </w:tcPr>
          <w:p>
            <w:pPr>
              <w:spacing w:after="100" w:before="80"/>
            </w:pPr>
            <w:r>
              <w:rPr>
                <w:sz w:val="18"/>
              </w:rPr>
              <w:t>Sucursales incluidas</w:t>
            </w:r>
          </w:p>
        </w:tc>
        <w:tc>
          <w:tcPr>
            <w:tcW w:type="dxa" w:w="3240"/>
            <w:vAlign w:val="top"/>
            <w:shd w:fill="F0F6F8"/>
          </w:tcPr>
          <w:p>
            <w:pPr>
              <w:spacing w:after="100" w:before="80"/>
            </w:pPr>
            <w:r>
              <w:rPr>
                <w:sz w:val="18"/>
              </w:rPr>
              <w:t>1</w:t>
            </w:r>
          </w:p>
        </w:tc>
        <w:tc>
          <w:tcPr>
            <w:tcW w:type="dxa" w:w="3312"/>
            <w:vAlign w:val="top"/>
            <w:shd w:fill="F0F6F8"/>
          </w:tcPr>
          <w:p>
            <w:pPr>
              <w:spacing w:after="100" w:before="80"/>
            </w:pPr>
            <w:r>
              <w:rPr>
                <w:sz w:val="18"/>
              </w:rPr>
              <w:t>Hasta 5; propuesta original orientada a 2–5</w:t>
            </w:r>
          </w:p>
        </w:tc>
      </w:tr>
      <w:tr>
        <w:trPr>
          <w:cantSplit/>
        </w:trPr>
        <w:tc>
          <w:tcPr>
            <w:tcW w:type="dxa" w:w="3240"/>
            <w:vAlign w:val="top"/>
          </w:tcPr>
          <w:p>
            <w:pPr>
              <w:spacing w:after="100" w:before="80"/>
            </w:pPr>
            <w:r>
              <w:rPr>
                <w:sz w:val="18"/>
              </w:rPr>
              <w:t>Usuarios</w:t>
            </w:r>
          </w:p>
        </w:tc>
        <w:tc>
          <w:tcPr>
            <w:tcW w:type="dxa" w:w="3240"/>
            <w:vAlign w:val="top"/>
          </w:tcPr>
          <w:p>
            <w:pPr>
              <w:spacing w:after="100" w:before="80"/>
            </w:pPr>
            <w:r>
              <w:rPr>
                <w:sz w:val="18"/>
              </w:rPr>
              <w:t>4 por sucursal</w:t>
            </w:r>
          </w:p>
        </w:tc>
        <w:tc>
          <w:tcPr>
            <w:tcW w:type="dxa" w:w="3312"/>
            <w:vAlign w:val="top"/>
          </w:tcPr>
          <w:p>
            <w:pPr>
              <w:spacing w:after="100" w:before="80"/>
            </w:pPr>
            <w:r>
              <w:rPr>
                <w:sz w:val="18"/>
              </w:rPr>
              <w:t>4 por sucursal; no 4 para toda la compañía</w:t>
            </w:r>
          </w:p>
        </w:tc>
      </w:tr>
      <w:tr>
        <w:trPr>
          <w:cantSplit/>
        </w:trPr>
        <w:tc>
          <w:tcPr>
            <w:tcW w:type="dxa" w:w="3240"/>
            <w:vAlign w:val="top"/>
            <w:shd w:fill="F0F6F8"/>
          </w:tcPr>
          <w:p>
            <w:pPr>
              <w:spacing w:after="100" w:before="80"/>
            </w:pPr>
            <w:r>
              <w:rPr>
                <w:sz w:val="18"/>
              </w:rPr>
              <w:t>Roles y control de acceso</w:t>
            </w:r>
          </w:p>
        </w:tc>
        <w:tc>
          <w:tcPr>
            <w:tcW w:type="dxa" w:w="3240"/>
            <w:vAlign w:val="top"/>
            <w:shd w:fill="F0F6F8"/>
          </w:tcPr>
          <w:p>
            <w:pPr>
              <w:spacing w:after="100" w:before="80"/>
            </w:pPr>
            <w:r>
              <w:rPr>
                <w:sz w:val="18"/>
              </w:rPr>
              <w:t>Propietario, administrador, operador y consulta, según configuración</w:t>
            </w:r>
          </w:p>
        </w:tc>
        <w:tc>
          <w:tcPr>
            <w:tcW w:type="dxa" w:w="3312"/>
            <w:vAlign w:val="top"/>
            <w:shd w:fill="F0F6F8"/>
          </w:tcPr>
          <w:p>
            <w:pPr>
              <w:spacing w:after="100" w:before="80"/>
            </w:pPr>
            <w:r>
              <w:rPr>
                <w:sz w:val="18"/>
              </w:rPr>
              <w:t>Mismos roles, con alcance por las sucursales asignadas</w:t>
            </w:r>
          </w:p>
        </w:tc>
      </w:tr>
      <w:tr>
        <w:trPr>
          <w:cantSplit/>
        </w:trPr>
        <w:tc>
          <w:tcPr>
            <w:tcW w:type="dxa" w:w="3240"/>
            <w:vAlign w:val="top"/>
          </w:tcPr>
          <w:p>
            <w:pPr>
              <w:spacing w:after="100" w:before="80"/>
            </w:pPr>
            <w:r>
              <w:rPr>
                <w:sz w:val="18"/>
              </w:rPr>
              <w:t>Soporte ofertado</w:t>
            </w:r>
          </w:p>
        </w:tc>
        <w:tc>
          <w:tcPr>
            <w:tcW w:type="dxa" w:w="3240"/>
            <w:vAlign w:val="top"/>
          </w:tcPr>
          <w:p>
            <w:pPr>
              <w:spacing w:after="100" w:before="80"/>
            </w:pPr>
            <w:r>
              <w:rPr>
                <w:sz w:val="18"/>
              </w:rPr>
              <w:t>Estándar</w:t>
            </w:r>
          </w:p>
        </w:tc>
        <w:tc>
          <w:tcPr>
            <w:tcW w:type="dxa" w:w="3312"/>
            <w:vAlign w:val="top"/>
          </w:tcPr>
          <w:p>
            <w:pPr>
              <w:spacing w:after="100" w:before="80"/>
            </w:pPr>
            <w:r>
              <w:rPr>
                <w:sz w:val="18"/>
              </w:rPr>
              <w:t>Prioritario</w:t>
            </w:r>
          </w:p>
        </w:tc>
      </w:tr>
      <w:tr>
        <w:trPr>
          <w:cantSplit/>
        </w:trPr>
        <w:tc>
          <w:tcPr>
            <w:tcW w:type="dxa" w:w="3240"/>
            <w:vAlign w:val="top"/>
            <w:shd w:fill="F0F6F8"/>
          </w:tcPr>
          <w:p>
            <w:pPr>
              <w:spacing w:after="100" w:before="80"/>
            </w:pPr>
            <w:r>
              <w:rPr>
                <w:sz w:val="18"/>
              </w:rPr>
              <w:t>Retención de copias ofertada*</w:t>
            </w:r>
          </w:p>
        </w:tc>
        <w:tc>
          <w:tcPr>
            <w:tcW w:type="dxa" w:w="3240"/>
            <w:vAlign w:val="top"/>
            <w:shd w:fill="F0F6F8"/>
          </w:tcPr>
          <w:p>
            <w:pPr>
              <w:spacing w:after="100" w:before="80"/>
            </w:pPr>
            <w:r>
              <w:rPr>
                <w:sz w:val="18"/>
              </w:rPr>
              <w:t>7 días</w:t>
            </w:r>
          </w:p>
        </w:tc>
        <w:tc>
          <w:tcPr>
            <w:tcW w:type="dxa" w:w="3312"/>
            <w:vAlign w:val="top"/>
            <w:shd w:fill="F0F6F8"/>
          </w:tcPr>
          <w:p>
            <w:pPr>
              <w:spacing w:after="100" w:before="80"/>
            </w:pPr>
            <w:r>
              <w:rPr>
                <w:sz w:val="18"/>
              </w:rPr>
              <w:t>29 días</w:t>
            </w:r>
          </w:p>
        </w:tc>
      </w:tr>
    </w:tbl>
    <w:p>
      <w:r>
        <w:t>*Estas ventanas corresponden a la oferta comercial de copias. Frecuencia, cobertura, recuperación y condiciones de respaldo deben constar en la política de servicio aplicable. No equivalen al plazo de conservación del historial operativo ni de documentos del cliente.</w:t>
      </w:r>
    </w:p>
    <w:p>
      <w:pPr>
        <w:pStyle w:val="Heading2"/>
      </w:pPr>
      <w:r>
        <w:t>Incluido en ambos planes</w:t>
      </w:r>
    </w:p>
    <w:tbl>
      <w:tblPr>
        <w:tblW w:type="auto" w:w="0"/>
        <w:jc w:val="center"/>
        <w:tblLayout w:type="fixed"/>
        <w:tblLook w:firstColumn="1" w:firstRow="1" w:lastColumn="0" w:lastRow="0" w:noHBand="0" w:noVBand="1" w:val="04A0"/>
      </w:tblPr>
      <w:tblGrid>
        <w:gridCol w:w="2160"/>
        <w:gridCol w:w="7632"/>
      </w:tblGrid>
      <w:tr>
        <w:trPr>
          <w:tblHeader/>
        </w:trPr>
        <w:tc>
          <w:tcPr>
            <w:tcW w:type="dxa" w:w="4946"/>
            <w:shd w:fill="102A43"/>
          </w:tcPr>
          <w:p>
            <w:pPr>
              <w:spacing w:after="100" w:before="80"/>
            </w:pPr>
            <w:r>
              <w:rPr>
                <w:b/>
                <w:color w:val="FFFFFF"/>
                <w:sz w:val="18"/>
              </w:rPr>
              <w:t>Área</w:t>
            </w:r>
          </w:p>
        </w:tc>
        <w:tc>
          <w:tcPr>
            <w:tcW w:type="dxa" w:w="4946"/>
            <w:shd w:fill="102A43"/>
          </w:tcPr>
          <w:p>
            <w:pPr>
              <w:spacing w:after="100" w:before="80"/>
            </w:pPr>
            <w:r>
              <w:rPr>
                <w:b/>
                <w:color w:val="FFFFFF"/>
                <w:sz w:val="18"/>
              </w:rPr>
              <w:t>Qué permite revisar o gestionar</w:t>
            </w:r>
          </w:p>
        </w:tc>
      </w:tr>
      <w:tr>
        <w:trPr>
          <w:cantSplit/>
        </w:trPr>
        <w:tc>
          <w:tcPr>
            <w:tcW w:type="dxa" w:w="2160"/>
            <w:vAlign w:val="top"/>
            <w:shd w:fill="F0F6F8"/>
          </w:tcPr>
          <w:p>
            <w:pPr>
              <w:spacing w:after="100" w:before="80"/>
            </w:pPr>
            <w:r>
              <w:rPr>
                <w:sz w:val="18"/>
              </w:rPr>
              <w:t>Clientes</w:t>
            </w:r>
          </w:p>
        </w:tc>
        <w:tc>
          <w:tcPr>
            <w:tcW w:type="dxa" w:w="7632"/>
            <w:vAlign w:val="top"/>
            <w:shd w:fill="F0F6F8"/>
          </w:tcPr>
          <w:p>
            <w:pPr>
              <w:spacing w:after="100" w:before="80"/>
            </w:pPr>
            <w:r>
              <w:rPr>
                <w:sz w:val="18"/>
              </w:rPr>
              <w:t>Registro y búsqueda por identificación o nombre; datos de contacto; ocultar y recuperar registros conservando su historial de actividad.</w:t>
            </w:r>
          </w:p>
        </w:tc>
      </w:tr>
      <w:tr>
        <w:trPr>
          <w:cantSplit/>
        </w:trPr>
        <w:tc>
          <w:tcPr>
            <w:tcW w:type="dxa" w:w="2160"/>
            <w:vAlign w:val="top"/>
          </w:tcPr>
          <w:p>
            <w:pPr>
              <w:spacing w:after="100" w:before="80"/>
            </w:pPr>
            <w:r>
              <w:rPr>
                <w:sz w:val="18"/>
              </w:rPr>
              <w:t>Compra y venta</w:t>
            </w:r>
          </w:p>
        </w:tc>
        <w:tc>
          <w:tcPr>
            <w:tcW w:type="dxa" w:w="7632"/>
            <w:vAlign w:val="top"/>
          </w:tcPr>
          <w:p>
            <w:pPr>
              <w:spacing w:after="100" w:before="80"/>
            </w:pPr>
            <w:r>
              <w:rPr>
                <w:sz w:val="18"/>
              </w:rPr>
              <w:t>Registro de operaciones con divisa, cantidad, tasa aplicada, importe y operador. Generación del recibo de la transacción.</w:t>
            </w:r>
          </w:p>
        </w:tc>
      </w:tr>
      <w:tr>
        <w:trPr>
          <w:cantSplit/>
        </w:trPr>
        <w:tc>
          <w:tcPr>
            <w:tcW w:type="dxa" w:w="2160"/>
            <w:vAlign w:val="top"/>
            <w:shd w:fill="F0F6F8"/>
          </w:tcPr>
          <w:p>
            <w:pPr>
              <w:spacing w:after="100" w:before="80"/>
            </w:pPr>
            <w:r>
              <w:rPr>
                <w:sz w:val="18"/>
              </w:rPr>
              <w:t>Caja y divisas</w:t>
            </w:r>
          </w:p>
        </w:tc>
        <w:tc>
          <w:tcPr>
            <w:tcW w:type="dxa" w:w="7632"/>
            <w:vAlign w:val="top"/>
            <w:shd w:fill="F0F6F8"/>
          </w:tcPr>
          <w:p>
            <w:pPr>
              <w:spacing w:after="100" w:before="80"/>
            </w:pPr>
            <w:r>
              <w:rPr>
                <w:sz w:val="18"/>
              </w:rPr>
              <w:t>Saldos e inventario por sede y divisa; ajustes de ingreso/retiro con motivo; conteo físico y diferencias al cierre.</w:t>
            </w:r>
          </w:p>
        </w:tc>
      </w:tr>
      <w:tr>
        <w:trPr>
          <w:cantSplit/>
        </w:trPr>
        <w:tc>
          <w:tcPr>
            <w:tcW w:type="dxa" w:w="2160"/>
            <w:vAlign w:val="top"/>
          </w:tcPr>
          <w:p>
            <w:pPr>
              <w:spacing w:after="100" w:before="80"/>
            </w:pPr>
            <w:r>
              <w:rPr>
                <w:sz w:val="18"/>
              </w:rPr>
              <w:t>Tasas e historial</w:t>
            </w:r>
          </w:p>
        </w:tc>
        <w:tc>
          <w:tcPr>
            <w:tcW w:type="dxa" w:w="7632"/>
            <w:vAlign w:val="top"/>
          </w:tcPr>
          <w:p>
            <w:pPr>
              <w:spacing w:after="100" w:before="80"/>
            </w:pPr>
            <w:r>
              <w:rPr>
                <w:sz w:val="18"/>
              </w:rPr>
              <w:t>Tasas operativas aprobadas y consulta de cambios anteriores/nuevos, responsable y motivo registrado.</w:t>
            </w:r>
          </w:p>
        </w:tc>
      </w:tr>
      <w:tr>
        <w:trPr>
          <w:cantSplit/>
        </w:trPr>
        <w:tc>
          <w:tcPr>
            <w:tcW w:type="dxa" w:w="2160"/>
            <w:vAlign w:val="top"/>
            <w:shd w:fill="F0F6F8"/>
          </w:tcPr>
          <w:p>
            <w:pPr>
              <w:spacing w:after="100" w:before="80"/>
            </w:pPr>
            <w:r>
              <w:rPr>
                <w:sz w:val="18"/>
              </w:rPr>
              <w:t>Reportes</w:t>
            </w:r>
          </w:p>
        </w:tc>
        <w:tc>
          <w:tcPr>
            <w:tcW w:type="dxa" w:w="7632"/>
            <w:vAlign w:val="top"/>
            <w:shd w:fill="F0F6F8"/>
          </w:tcPr>
          <w:p>
            <w:pPr>
              <w:spacing w:after="100" w:before="80"/>
            </w:pPr>
            <w:r>
              <w:rPr>
                <w:sz w:val="18"/>
              </w:rPr>
              <w:t>Caja por periodo y una o varias divisas, con PDF; generación DIAN 1099/1100 y UIAF según permisos y configuración.</w:t>
            </w:r>
          </w:p>
        </w:tc>
      </w:tr>
      <w:tr>
        <w:trPr>
          <w:cantSplit/>
        </w:trPr>
        <w:tc>
          <w:tcPr>
            <w:tcW w:type="dxa" w:w="2160"/>
            <w:vAlign w:val="top"/>
          </w:tcPr>
          <w:p>
            <w:pPr>
              <w:spacing w:after="100" w:before="80"/>
            </w:pPr>
            <w:r>
              <w:rPr>
                <w:sz w:val="18"/>
              </w:rPr>
              <w:t>Consulta y revisión</w:t>
            </w:r>
          </w:p>
        </w:tc>
        <w:tc>
          <w:tcPr>
            <w:tcW w:type="dxa" w:w="7632"/>
            <w:vAlign w:val="top"/>
          </w:tcPr>
          <w:p>
            <w:pPr>
              <w:spacing w:after="100" w:before="80"/>
            </w:pPr>
            <w:r>
              <w:rPr>
                <w:sz w:val="18"/>
              </w:rPr>
              <w:t>Perfil de solo consulta para historial, recibos y reportes dentro de su alcance, sin habilitar cambios operativos.</w:t>
            </w:r>
          </w:p>
        </w:tc>
      </w:tr>
    </w:tbl>
    <w:p>
      <w:r>
        <w:t>Las capacidades se habilitan según el plan, los permisos y la configuración de la empresa. No se prometen sucursales o usuarios ilimitados. Las ampliaciones requieren aprobación comercial y viabilidad técnica.</w:t>
      </w:r>
    </w:p>
    <w:p>
      <w:r>
        <w:br w:type="page"/>
      </w:r>
    </w:p>
    <w:p>
      <w:pPr>
        <w:pStyle w:val="Subtitle"/>
      </w:pPr>
      <w:r>
        <w:t>PRODUCTO / TRABAJO DIARIO</w:t>
      </w:r>
    </w:p>
    <w:p>
      <w:pPr>
        <w:pStyle w:val="Heading1"/>
      </w:pPr>
      <w:r>
        <w:t>Lo que tu equipo puede hacer</w:t>
      </w:r>
    </w:p>
    <w:tbl>
      <w:tblPr>
        <w:tblW w:type="auto" w:w="0"/>
        <w:jc w:val="center"/>
        <w:tblLayout w:type="fixed"/>
        <w:tblLook w:firstColumn="1" w:firstRow="1" w:lastColumn="0" w:lastRow="0" w:noHBand="0" w:noVBand="1" w:val="04A0"/>
      </w:tblPr>
      <w:tblGrid>
        <w:gridCol w:w="3240"/>
        <w:gridCol w:w="6552"/>
      </w:tblGrid>
      <w:tr>
        <w:trPr>
          <w:tblHeader/>
        </w:trPr>
        <w:tc>
          <w:tcPr>
            <w:tcW w:type="dxa" w:w="4946"/>
            <w:shd w:fill="102A43"/>
          </w:tcPr>
          <w:p>
            <w:pPr>
              <w:spacing w:after="100" w:before="80"/>
            </w:pPr>
            <w:r>
              <w:rPr>
                <w:b/>
                <w:color w:val="FFFFFF"/>
                <w:sz w:val="18"/>
              </w:rPr>
              <w:t>Situación cotidiana</w:t>
            </w:r>
          </w:p>
        </w:tc>
        <w:tc>
          <w:tcPr>
            <w:tcW w:type="dxa" w:w="4946"/>
            <w:shd w:fill="102A43"/>
          </w:tcPr>
          <w:p>
            <w:pPr>
              <w:spacing w:after="100" w:before="80"/>
            </w:pPr>
            <w:r>
              <w:rPr>
                <w:b/>
                <w:color w:val="FFFFFF"/>
                <w:sz w:val="18"/>
              </w:rPr>
              <w:t>Acción y resultado visible</w:t>
            </w:r>
          </w:p>
        </w:tc>
      </w:tr>
      <w:tr>
        <w:trPr>
          <w:cantSplit/>
        </w:trPr>
        <w:tc>
          <w:tcPr>
            <w:tcW w:type="dxa" w:w="3240"/>
            <w:vAlign w:val="top"/>
            <w:shd w:fill="F0F6F8"/>
          </w:tcPr>
          <w:p>
            <w:pPr>
              <w:spacing w:after="100" w:before="80"/>
            </w:pPr>
            <w:r>
              <w:rPr>
                <w:sz w:val="18"/>
              </w:rPr>
              <w:t>«Al cerrar faltan 10 dólares».</w:t>
            </w:r>
          </w:p>
        </w:tc>
        <w:tc>
          <w:tcPr>
            <w:tcW w:type="dxa" w:w="6552"/>
            <w:vAlign w:val="top"/>
            <w:shd w:fill="F0F6F8"/>
          </w:tcPr>
          <w:p>
            <w:pPr>
              <w:spacing w:after="100" w:before="80"/>
            </w:pPr>
            <w:r>
              <w:rPr>
                <w:sz w:val="18"/>
              </w:rPr>
              <w:t>Comparar esperado y físico por divisa. Ejemplo: 1.250 USD esperados frente a 1.240 USD contados = faltante de 10 USD. Revisar operaciones y ajustes para investigar; el sistema no determina por sí solo la causa.</w:t>
            </w:r>
          </w:p>
        </w:tc>
      </w:tr>
      <w:tr>
        <w:trPr>
          <w:cantSplit/>
        </w:trPr>
        <w:tc>
          <w:tcPr>
            <w:tcW w:type="dxa" w:w="3240"/>
            <w:vAlign w:val="top"/>
          </w:tcPr>
          <w:p>
            <w:pPr>
              <w:spacing w:after="100" w:before="80"/>
            </w:pPr>
            <w:r>
              <w:rPr>
                <w:sz w:val="18"/>
              </w:rPr>
              <w:t>«¿Quién cambió la tasa?»</w:t>
            </w:r>
          </w:p>
        </w:tc>
        <w:tc>
          <w:tcPr>
            <w:tcW w:type="dxa" w:w="6552"/>
            <w:vAlign w:val="top"/>
          </w:tcPr>
          <w:p>
            <w:pPr>
              <w:spacing w:after="100" w:before="80"/>
            </w:pPr>
            <w:r>
              <w:rPr>
                <w:sz w:val="18"/>
              </w:rPr>
              <w:t>Consultar tasa anterior y nueva, responsable y motivo. La revisión de una operación conserva la tasa registrada en esa transacción.</w:t>
            </w:r>
          </w:p>
        </w:tc>
      </w:tr>
      <w:tr>
        <w:trPr>
          <w:cantSplit/>
        </w:trPr>
        <w:tc>
          <w:tcPr>
            <w:tcW w:type="dxa" w:w="3240"/>
            <w:vAlign w:val="top"/>
            <w:shd w:fill="F0F6F8"/>
          </w:tcPr>
          <w:p>
            <w:pPr>
              <w:spacing w:after="100" w:before="80"/>
            </w:pPr>
            <w:r>
              <w:rPr>
                <w:sz w:val="18"/>
              </w:rPr>
              <w:t>«El cliente necesita su recibo».</w:t>
            </w:r>
          </w:p>
        </w:tc>
        <w:tc>
          <w:tcPr>
            <w:tcW w:type="dxa" w:w="6552"/>
            <w:vAlign w:val="top"/>
            <w:shd w:fill="F0F6F8"/>
          </w:tcPr>
          <w:p>
            <w:pPr>
              <w:spacing w:after="100" w:before="80"/>
            </w:pPr>
            <w:r>
              <w:rPr>
                <w:sz w:val="18"/>
              </w:rPr>
              <w:t>Localizar la operación y generar su soporte con cliente, operador, divisa, tasa e importe. El recibo no es una factura electrónica.</w:t>
            </w:r>
          </w:p>
        </w:tc>
      </w:tr>
      <w:tr>
        <w:trPr>
          <w:cantSplit/>
        </w:trPr>
        <w:tc>
          <w:tcPr>
            <w:tcW w:type="dxa" w:w="3240"/>
            <w:vAlign w:val="top"/>
          </w:tcPr>
          <w:p>
            <w:pPr>
              <w:spacing w:after="100" w:before="80"/>
            </w:pPr>
            <w:r>
              <w:rPr>
                <w:sz w:val="18"/>
              </w:rPr>
              <w:t>«Mi asesor necesita revisar».</w:t>
            </w:r>
          </w:p>
        </w:tc>
        <w:tc>
          <w:tcPr>
            <w:tcW w:type="dxa" w:w="6552"/>
            <w:vAlign w:val="top"/>
          </w:tcPr>
          <w:p>
            <w:pPr>
              <w:spacing w:after="100" w:before="80"/>
            </w:pPr>
            <w:r>
              <w:rPr>
                <w:sz w:val="18"/>
              </w:rPr>
              <w:t>Asignar acceso de consulta a las sucursales autorizadas para revisar historial, recibos y reportes sin modificar operaciones.</w:t>
            </w:r>
          </w:p>
        </w:tc>
      </w:tr>
      <w:tr>
        <w:trPr>
          <w:cantSplit/>
        </w:trPr>
        <w:tc>
          <w:tcPr>
            <w:tcW w:type="dxa" w:w="3240"/>
            <w:vAlign w:val="top"/>
            <w:shd w:fill="F0F6F8"/>
          </w:tcPr>
          <w:p>
            <w:pPr>
              <w:spacing w:after="100" w:before="80"/>
            </w:pPr>
            <w:r>
              <w:rPr>
                <w:sz w:val="18"/>
              </w:rPr>
              <w:t>«Este nombre se parece al de una lista».</w:t>
            </w:r>
          </w:p>
        </w:tc>
        <w:tc>
          <w:tcPr>
            <w:tcW w:type="dxa" w:w="6552"/>
            <w:vAlign w:val="top"/>
            <w:shd w:fill="F0F6F8"/>
          </w:tcPr>
          <w:p>
            <w:pPr>
              <w:spacing w:after="100" w:before="80"/>
            </w:pPr>
            <w:r>
              <w:rPr>
                <w:sz w:val="18"/>
              </w:rPr>
              <w:t>Revisar los candidatos y su información. La similitud de nombre por sí sola no confirma identidad; el responsable evalúa el caso.</w:t>
            </w:r>
          </w:p>
        </w:tc>
      </w:tr>
    </w:tbl>
    <w:p>
      <w:pPr>
        <w:pStyle w:val="Heading2"/>
      </w:pPr>
      <w:r>
        <w:t>Información del cliente: natural y jurídica</w:t>
      </w:r>
    </w:p>
    <w:p>
      <w:r>
        <w:t>La gestión distingue persona natural y jurídica. El formulario actual contempla nombres o razón social, identificación, ubicación, contacto, actividad económica y origen de fondos, según el flujo disponible. La actualización de contacto no implica que todos los datos de identidad se puedan editar libremente.</w:t>
      </w:r>
    </w:p>
    <w:p>
      <w:r>
        <w:t>Para persona jurídica se utiliza identificación NIT y razón social. La captura ampliada de RUT, certificado de existencia, socios, beneficiario final, poderes y facultades de representantes debe revisarse campo por campo en el alcance acordado; no se anuncia como expediente completo incluido sin verificar su flujo.</w:t>
      </w:r>
    </w:p>
    <w:p>
      <w:r>
        <w:t>La matriz de campos adjunta sirve para reconciliar requisitos. Que una fila esté marcada como «Terminada» no acredita por sí sola su disponibilidad en el portal, su despliegue o la conformidad normativa del expediente.</w:t>
      </w:r>
    </w:p>
    <w:p>
      <w:pPr>
        <w:pStyle w:val="Heading2"/>
      </w:pPr>
      <w:r>
        <w:t>Qué comprobar en la demostración</w:t>
      </w:r>
    </w:p>
    <w:p>
      <w:pPr>
        <w:pStyle w:val="ListBullet"/>
      </w:pPr>
      <w:r>
        <w:t>Buscar y seleccionar un cliente; revisar el alcance de su ficha y las opciones de contacto.</w:t>
      </w:r>
    </w:p>
    <w:p>
      <w:pPr>
        <w:pStyle w:val="ListBullet"/>
      </w:pPr>
      <w:r>
        <w:t>Registrar una operación de ejemplo, consultar el recibo y revisar el inventario de la sede.</w:t>
      </w:r>
    </w:p>
    <w:p>
      <w:pPr>
        <w:pStyle w:val="ListBullet"/>
      </w:pPr>
      <w:r>
        <w:t>Revisar un cierre con diferencias, un cambio de tasa y un usuario de consulta.</w:t>
      </w:r>
    </w:p>
    <w:p>
      <w:r>
        <w:br w:type="page"/>
      </w:r>
    </w:p>
    <w:p>
      <w:pPr>
        <w:pStyle w:val="Subtitle"/>
      </w:pPr>
      <w:r>
        <w:t>CONTROL / ALCANCE VERIFICABLE</w:t>
      </w:r>
    </w:p>
    <w:p>
      <w:pPr>
        <w:pStyle w:val="Heading1"/>
      </w:pPr>
      <w:r>
        <w:t>Reportes, accesos y evolución</w:t>
      </w:r>
    </w:p>
    <w:p>
      <w:pPr>
        <w:pStyle w:val="Heading2"/>
      </w:pPr>
      <w:r>
        <w:t>De la operación al reporte</w:t>
      </w:r>
    </w:p>
    <w:tbl>
      <w:tblPr>
        <w:tblW w:type="auto" w:w="0"/>
        <w:jc w:val="center"/>
        <w:tblLayout w:type="fixed"/>
        <w:tblLook w:firstColumn="1" w:firstRow="1" w:lastColumn="0" w:lastRow="0" w:noHBand="0" w:noVBand="1" w:val="04A0"/>
      </w:tblPr>
      <w:tblGrid>
        <w:gridCol w:w="1944"/>
        <w:gridCol w:w="7848"/>
      </w:tblGrid>
      <w:tr>
        <w:trPr>
          <w:tblHeader/>
        </w:trPr>
        <w:tc>
          <w:tcPr>
            <w:tcW w:type="dxa" w:w="4946"/>
            <w:shd w:fill="102A43"/>
          </w:tcPr>
          <w:p>
            <w:pPr>
              <w:spacing w:after="100" w:before="80"/>
            </w:pPr>
            <w:r>
              <w:rPr>
                <w:b/>
                <w:color w:val="FFFFFF"/>
                <w:sz w:val="18"/>
              </w:rPr>
              <w:t>Herramienta</w:t>
            </w:r>
          </w:p>
        </w:tc>
        <w:tc>
          <w:tcPr>
            <w:tcW w:type="dxa" w:w="4946"/>
            <w:shd w:fill="102A43"/>
          </w:tcPr>
          <w:p>
            <w:pPr>
              <w:spacing w:after="100" w:before="80"/>
            </w:pPr>
            <w:r>
              <w:rPr>
                <w:b/>
                <w:color w:val="FFFFFF"/>
                <w:sz w:val="18"/>
              </w:rPr>
              <w:t>Alcance que se presenta</w:t>
            </w:r>
          </w:p>
        </w:tc>
      </w:tr>
      <w:tr>
        <w:trPr>
          <w:cantSplit/>
        </w:trPr>
        <w:tc>
          <w:tcPr>
            <w:tcW w:type="dxa" w:w="1944"/>
            <w:vAlign w:val="top"/>
            <w:shd w:fill="F0F6F8"/>
          </w:tcPr>
          <w:p>
            <w:pPr>
              <w:spacing w:after="100" w:before="80"/>
            </w:pPr>
            <w:r>
              <w:rPr>
                <w:sz w:val="18"/>
              </w:rPr>
              <w:t>Caja</w:t>
            </w:r>
          </w:p>
        </w:tc>
        <w:tc>
          <w:tcPr>
            <w:tcW w:type="dxa" w:w="7848"/>
            <w:vAlign w:val="top"/>
            <w:shd w:fill="F0F6F8"/>
          </w:tcPr>
          <w:p>
            <w:pPr>
              <w:spacing w:after="100" w:before="80"/>
            </w:pPr>
            <w:r>
              <w:rPr>
                <w:sz w:val="18"/>
              </w:rPr>
              <w:t>Consulta por periodo, sede y divisas seleccionadas; exportación PDF y revisión de cambios de tasas y ajustes. Los saldos COP de apertura/cierre pueden representar el contexto de toda la sede.</w:t>
            </w:r>
          </w:p>
        </w:tc>
      </w:tr>
      <w:tr>
        <w:trPr>
          <w:cantSplit/>
        </w:trPr>
        <w:tc>
          <w:tcPr>
            <w:tcW w:type="dxa" w:w="1944"/>
            <w:vAlign w:val="top"/>
          </w:tcPr>
          <w:p>
            <w:pPr>
              <w:spacing w:after="100" w:before="80"/>
            </w:pPr>
            <w:r>
              <w:rPr>
                <w:sz w:val="18"/>
              </w:rPr>
              <w:t>DIAN</w:t>
            </w:r>
          </w:p>
        </w:tc>
        <w:tc>
          <w:tcPr>
            <w:tcW w:type="dxa" w:w="7848"/>
            <w:vAlign w:val="top"/>
          </w:tcPr>
          <w:p>
            <w:pPr>
              <w:spacing w:after="100" w:before="80"/>
            </w:pPr>
            <w:r>
              <w:rPr>
                <w:sz w:val="18"/>
              </w:rPr>
              <w:t>Generación de archivos para formatos 1099 (compras) y 1100 (ventas), sujeta a configuración y revisión del responsable.</w:t>
            </w:r>
          </w:p>
        </w:tc>
      </w:tr>
      <w:tr>
        <w:trPr>
          <w:cantSplit/>
        </w:trPr>
        <w:tc>
          <w:tcPr>
            <w:tcW w:type="dxa" w:w="1944"/>
            <w:vAlign w:val="top"/>
            <w:shd w:fill="F0F6F8"/>
          </w:tcPr>
          <w:p>
            <w:pPr>
              <w:spacing w:after="100" w:before="80"/>
            </w:pPr>
            <w:r>
              <w:rPr>
                <w:sz w:val="18"/>
              </w:rPr>
              <w:t>UIAF</w:t>
            </w:r>
          </w:p>
        </w:tc>
        <w:tc>
          <w:tcPr>
            <w:tcW w:type="dxa" w:w="7848"/>
            <w:vAlign w:val="top"/>
            <w:shd w:fill="F0F6F8"/>
          </w:tcPr>
          <w:p>
            <w:pPr>
              <w:spacing w:after="100" w:before="80"/>
            </w:pPr>
            <w:r>
              <w:rPr>
                <w:sz w:val="18"/>
              </w:rPr>
              <w:t>Generación trimestral configurada. Tipo de reporte, datos, reglas y aplicabilidad deben validarse con el responsable antes de la presentación.</w:t>
            </w:r>
          </w:p>
        </w:tc>
      </w:tr>
      <w:tr>
        <w:trPr>
          <w:cantSplit/>
        </w:trPr>
        <w:tc>
          <w:tcPr>
            <w:tcW w:type="dxa" w:w="1944"/>
            <w:vAlign w:val="top"/>
          </w:tcPr>
          <w:p>
            <w:pPr>
              <w:spacing w:after="100" w:before="80"/>
            </w:pPr>
            <w:r>
              <w:rPr>
                <w:sz w:val="18"/>
              </w:rPr>
              <w:t>Listas</w:t>
            </w:r>
          </w:p>
        </w:tc>
        <w:tc>
          <w:tcPr>
            <w:tcW w:type="dxa" w:w="7848"/>
            <w:vAlign w:val="top"/>
          </w:tcPr>
          <w:p>
            <w:pPr>
              <w:spacing w:after="100" w:before="80"/>
            </w:pPr>
            <w:r>
              <w:rPr>
                <w:sz w:val="18"/>
              </w:rPr>
              <w:t>Revisión de coincidencias y registro del estado del cliente. No se promete consulta nueva antes de cada operación ni bloqueo universal como garantía de cumplimiento.</w:t>
            </w:r>
          </w:p>
        </w:tc>
      </w:tr>
    </w:tbl>
    <w:p>
      <w:r>
        <w:t>Generar → revisar → presentar. Obtener un archivo no equivale a enviarlo a DIAN/UIAF, que la autoridad lo reciba o lo acepte. No se ofrece un flujo completo de ROS/SIREL como función disponible sin alcance y validación específicos.</w:t>
      </w:r>
    </w:p>
    <w:p>
      <w:pPr>
        <w:pStyle w:val="Heading2"/>
      </w:pPr>
      <w:r>
        <w:t>Control de acceso y trazabilidad</w:t>
      </w:r>
    </w:p>
    <w:p>
      <w:r>
        <w:t>Roles y asignación de sucursales permiten delimitar lo que cada miembro puede consultar o modificar. El propietario puede limitar funciones por miembro dentro de su rol. Los historiales de tasas y ajustes registran actor y motivo; esto no equivale a afirmar que cada acción de la plataforma tenga una auditoría inmutable.</w:t>
      </w:r>
    </w:p>
    <w:p>
      <w:pPr>
        <w:pStyle w:val="Heading2"/>
      </w:pPr>
      <w:r>
        <w:t>Evolución del producto</w:t>
      </w:r>
    </w:p>
    <w:tbl>
      <w:tblPr>
        <w:tblW w:type="auto" w:w="0"/>
        <w:jc w:val="center"/>
        <w:tblLayout w:type="fixed"/>
        <w:tblLook w:firstColumn="1" w:firstRow="1" w:lastColumn="0" w:lastRow="0" w:noHBand="0" w:noVBand="1" w:val="04A0"/>
      </w:tblPr>
      <w:tblGrid>
        <w:gridCol w:w="2016"/>
        <w:gridCol w:w="7776"/>
      </w:tblGrid>
      <w:tr>
        <w:trPr>
          <w:tblHeader/>
        </w:trPr>
        <w:tc>
          <w:tcPr>
            <w:tcW w:type="dxa" w:w="4946"/>
            <w:shd w:fill="102A43"/>
          </w:tcPr>
          <w:p>
            <w:pPr>
              <w:spacing w:after="100" w:before="80"/>
            </w:pPr>
            <w:r>
              <w:rPr>
                <w:b/>
                <w:color w:val="FFFFFF"/>
                <w:sz w:val="18"/>
              </w:rPr>
              <w:t>Estado</w:t>
            </w:r>
          </w:p>
        </w:tc>
        <w:tc>
          <w:tcPr>
            <w:tcW w:type="dxa" w:w="4946"/>
            <w:shd w:fill="102A43"/>
          </w:tcPr>
          <w:p>
            <w:pPr>
              <w:spacing w:after="100" w:before="80"/>
            </w:pPr>
            <w:r>
              <w:rPr>
                <w:b/>
                <w:color w:val="FFFFFF"/>
                <w:sz w:val="18"/>
              </w:rPr>
              <w:t>Capacidad</w:t>
            </w:r>
          </w:p>
        </w:tc>
      </w:tr>
      <w:tr>
        <w:trPr>
          <w:cantSplit/>
        </w:trPr>
        <w:tc>
          <w:tcPr>
            <w:tcW w:type="dxa" w:w="2016"/>
            <w:vAlign w:val="top"/>
            <w:shd w:fill="F0F6F8"/>
          </w:tcPr>
          <w:p>
            <w:pPr>
              <w:spacing w:after="100" w:before="80"/>
            </w:pPr>
            <w:r>
              <w:rPr>
                <w:sz w:val="18"/>
              </w:rPr>
              <w:t>Planeada</w:t>
            </w:r>
          </w:p>
        </w:tc>
        <w:tc>
          <w:tcPr>
            <w:tcW w:type="dxa" w:w="7776"/>
            <w:vAlign w:val="top"/>
            <w:shd w:fill="F0F6F8"/>
          </w:tcPr>
          <w:p>
            <w:pPr>
              <w:spacing w:after="100" w:before="80"/>
            </w:pPr>
            <w:r>
              <w:rPr>
                <w:sz w:val="18"/>
              </w:rPr>
              <w:t>Facturación electrónica: integración, emisión y seguimiento por definir. El recibo actual no constituye esta capacidad.</w:t>
            </w:r>
          </w:p>
        </w:tc>
      </w:tr>
      <w:tr>
        <w:trPr>
          <w:cantSplit/>
        </w:trPr>
        <w:tc>
          <w:tcPr>
            <w:tcW w:type="dxa" w:w="2016"/>
            <w:vAlign w:val="top"/>
          </w:tcPr>
          <w:p>
            <w:pPr>
              <w:spacing w:after="100" w:before="80"/>
            </w:pPr>
            <w:r>
              <w:rPr>
                <w:sz w:val="18"/>
              </w:rPr>
              <w:t>Planeado</w:t>
            </w:r>
          </w:p>
        </w:tc>
        <w:tc>
          <w:tcPr>
            <w:tcW w:type="dxa" w:w="7776"/>
            <w:vAlign w:val="top"/>
          </w:tcPr>
          <w:p>
            <w:pPr>
              <w:spacing w:after="100" w:before="80"/>
            </w:pPr>
            <w:r>
              <w:rPr>
                <w:sz w:val="18"/>
              </w:rPr>
              <w:t>Asistente de cumplimiento con IA: visión para explicar eventos y orientar al personal. No son alertas activas incluidas en la prueba actual.</w:t>
            </w:r>
          </w:p>
        </w:tc>
      </w:tr>
      <w:tr>
        <w:trPr>
          <w:cantSplit/>
        </w:trPr>
        <w:tc>
          <w:tcPr>
            <w:tcW w:type="dxa" w:w="2016"/>
            <w:vAlign w:val="top"/>
            <w:shd w:fill="F0F6F8"/>
          </w:tcPr>
          <w:p>
            <w:pPr>
              <w:spacing w:after="100" w:before="80"/>
            </w:pPr>
            <w:r>
              <w:rPr>
                <w:sz w:val="18"/>
              </w:rPr>
              <w:t>En validación</w:t>
            </w:r>
          </w:p>
        </w:tc>
        <w:tc>
          <w:tcPr>
            <w:tcW w:type="dxa" w:w="7776"/>
            <w:vAlign w:val="top"/>
            <w:shd w:fill="F0F6F8"/>
          </w:tcPr>
          <w:p>
            <w:pPr>
              <w:spacing w:after="100" w:before="80"/>
            </w:pPr>
            <w:r>
              <w:rPr>
                <w:sz w:val="18"/>
              </w:rPr>
              <w:t>Renovación automática de la membresía: depende de habilitación y elegibilidad del proveedor. Registrar una tarjeta no activa por sí solo los cobros.</w:t>
            </w:r>
          </w:p>
        </w:tc>
      </w:tr>
      <w:tr>
        <w:trPr>
          <w:cantSplit/>
        </w:trPr>
        <w:tc>
          <w:tcPr>
            <w:tcW w:type="dxa" w:w="2016"/>
            <w:vAlign w:val="top"/>
          </w:tcPr>
          <w:p>
            <w:pPr>
              <w:spacing w:after="100" w:before="80"/>
            </w:pPr>
            <w:r>
              <w:rPr>
                <w:sz w:val="18"/>
              </w:rPr>
              <w:t>Fuera del alcance actual</w:t>
            </w:r>
          </w:p>
        </w:tc>
        <w:tc>
          <w:tcPr>
            <w:tcW w:type="dxa" w:w="7776"/>
            <w:vAlign w:val="top"/>
          </w:tcPr>
          <w:p>
            <w:pPr>
              <w:spacing w:after="100" w:before="80"/>
            </w:pPr>
            <w:r>
              <w:rPr>
                <w:sz w:val="18"/>
              </w:rPr>
              <w:t>Conciliación de pagos del servicio e integraciones bancarias adicionales. Son distintas de la conciliación de caja operativa ya descrita.</w:t>
            </w:r>
          </w:p>
        </w:tc>
      </w:tr>
    </w:tbl>
    <w:p>
      <w:r>
        <w:t>La plataforma apoya la organización y revisión de la operación. No sustituye el sistema de administración de riesgo del operador ni acredita cumplimiento legal integral o aprobación de una autoridad.</w:t>
      </w:r>
    </w:p>
    <w:p>
      <w:r>
        <w:br w:type="page"/>
      </w:r>
    </w:p>
    <w:p>
      <w:pPr>
        <w:pStyle w:val="Subtitle"/>
      </w:pPr>
      <w:r>
        <w:t>EVALUACIÓN / ESTRATEGIA COMERCIAL</w:t>
      </w:r>
    </w:p>
    <w:p>
      <w:pPr>
        <w:pStyle w:val="Heading1"/>
      </w:pPr>
      <w:r>
        <w:t>Prueba de 7 días y decisión informada</w:t>
      </w:r>
    </w:p>
    <w:p>
      <w:r>
        <w:t>La evaluación inicial es de siete días, con acceso coordinado por el equipo de JokerLabs. Solicitarla desde la web no crea una empresa activa, una reserva confirmada, un pago ni una renovación automática.</w:t>
      </w:r>
    </w:p>
    <w:tbl>
      <w:tblPr>
        <w:tblW w:type="auto" w:w="0"/>
        <w:jc w:val="center"/>
        <w:tblLayout w:type="fixed"/>
        <w:tblLook w:firstColumn="1" w:firstRow="1" w:lastColumn="0" w:lastRow="0" w:noHBand="0" w:noVBand="1" w:val="04A0"/>
      </w:tblPr>
      <w:tblGrid>
        <w:gridCol w:w="2304"/>
        <w:gridCol w:w="7488"/>
      </w:tblGrid>
      <w:tr>
        <w:trPr>
          <w:tblHeader/>
        </w:trPr>
        <w:tc>
          <w:tcPr>
            <w:tcW w:type="dxa" w:w="4946"/>
            <w:shd w:fill="102A43"/>
          </w:tcPr>
          <w:p>
            <w:pPr>
              <w:spacing w:after="100" w:before="80"/>
            </w:pPr>
            <w:r>
              <w:rPr>
                <w:b/>
                <w:color w:val="FFFFFF"/>
                <w:sz w:val="18"/>
              </w:rPr>
              <w:t>Momento</w:t>
            </w:r>
          </w:p>
        </w:tc>
        <w:tc>
          <w:tcPr>
            <w:tcW w:type="dxa" w:w="4946"/>
            <w:shd w:fill="102A43"/>
          </w:tcPr>
          <w:p>
            <w:pPr>
              <w:spacing w:after="100" w:before="80"/>
            </w:pPr>
            <w:r>
              <w:rPr>
                <w:b/>
                <w:color w:val="FFFFFF"/>
                <w:sz w:val="18"/>
              </w:rPr>
              <w:t>Objetivo de la evaluación</w:t>
            </w:r>
          </w:p>
        </w:tc>
      </w:tr>
      <w:tr>
        <w:trPr>
          <w:cantSplit/>
        </w:trPr>
        <w:tc>
          <w:tcPr>
            <w:tcW w:type="dxa" w:w="2304"/>
            <w:vAlign w:val="top"/>
            <w:shd w:fill="F0F6F8"/>
          </w:tcPr>
          <w:p>
            <w:pPr>
              <w:spacing w:after="100" w:before="80"/>
            </w:pPr>
            <w:r>
              <w:rPr>
                <w:sz w:val="18"/>
              </w:rPr>
              <w:t>Antes del inicio</w:t>
            </w:r>
          </w:p>
        </w:tc>
        <w:tc>
          <w:tcPr>
            <w:tcW w:type="dxa" w:w="7488"/>
            <w:vAlign w:val="top"/>
            <w:shd w:fill="F0F6F8"/>
          </w:tcPr>
          <w:p>
            <w:pPr>
              <w:spacing w:after="100" w:before="80"/>
            </w:pPr>
            <w:r>
              <w:rPr>
                <w:sz w:val="18"/>
              </w:rPr>
              <w:t>Acordar plan, sede(s), participantes, acceso, fechas y un flujo de evaluación. Usar datos de ejemplo para la primera demostración.</w:t>
            </w:r>
          </w:p>
        </w:tc>
      </w:tr>
      <w:tr>
        <w:trPr>
          <w:cantSplit/>
        </w:trPr>
        <w:tc>
          <w:tcPr>
            <w:tcW w:type="dxa" w:w="2304"/>
            <w:vAlign w:val="top"/>
          </w:tcPr>
          <w:p>
            <w:pPr>
              <w:spacing w:after="100" w:before="80"/>
            </w:pPr>
            <w:r>
              <w:rPr>
                <w:sz w:val="18"/>
              </w:rPr>
              <w:t>Día 1</w:t>
            </w:r>
          </w:p>
        </w:tc>
        <w:tc>
          <w:tcPr>
            <w:tcW w:type="dxa" w:w="7488"/>
            <w:vAlign w:val="top"/>
          </w:tcPr>
          <w:p>
            <w:pPr>
              <w:spacing w:after="100" w:before="80"/>
            </w:pPr>
            <w:r>
              <w:rPr>
                <w:sz w:val="18"/>
              </w:rPr>
              <w:t>Recorrer el flujo elegido y comprobar que las personas indicadas pueden acceder a las funciones acordadas.</w:t>
            </w:r>
          </w:p>
        </w:tc>
      </w:tr>
      <w:tr>
        <w:trPr>
          <w:cantSplit/>
        </w:trPr>
        <w:tc>
          <w:tcPr>
            <w:tcW w:type="dxa" w:w="2304"/>
            <w:vAlign w:val="top"/>
            <w:shd w:fill="F0F6F8"/>
          </w:tcPr>
          <w:p>
            <w:pPr>
              <w:spacing w:after="100" w:before="80"/>
            </w:pPr>
            <w:r>
              <w:rPr>
                <w:sz w:val="18"/>
              </w:rPr>
              <w:t>Día 3</w:t>
            </w:r>
          </w:p>
        </w:tc>
        <w:tc>
          <w:tcPr>
            <w:tcW w:type="dxa" w:w="7488"/>
            <w:vAlign w:val="top"/>
            <w:shd w:fill="F0F6F8"/>
          </w:tcPr>
          <w:p>
            <w:pPr>
              <w:spacing w:after="100" w:before="80"/>
            </w:pPr>
            <w:r>
              <w:rPr>
                <w:sz w:val="18"/>
              </w:rPr>
              <w:t>Revisar obstáculos y confirmar qué acciones pudo completar el equipo.</w:t>
            </w:r>
          </w:p>
        </w:tc>
      </w:tr>
      <w:tr>
        <w:trPr>
          <w:cantSplit/>
        </w:trPr>
        <w:tc>
          <w:tcPr>
            <w:tcW w:type="dxa" w:w="2304"/>
            <w:vAlign w:val="top"/>
          </w:tcPr>
          <w:p>
            <w:pPr>
              <w:spacing w:after="100" w:before="80"/>
            </w:pPr>
            <w:r>
              <w:rPr>
                <w:sz w:val="18"/>
              </w:rPr>
              <w:t>Días 5–7</w:t>
            </w:r>
          </w:p>
        </w:tc>
        <w:tc>
          <w:tcPr>
            <w:tcW w:type="dxa" w:w="7488"/>
            <w:vAlign w:val="top"/>
          </w:tcPr>
          <w:p>
            <w:pPr>
              <w:spacing w:after="100" w:before="80"/>
            </w:pPr>
            <w:r>
              <w:rPr>
                <w:sz w:val="18"/>
              </w:rPr>
              <w:t>Valorar el encaje con el decisor, revisar el alcance y explicar las condiciones económicas antes de comprar.</w:t>
            </w:r>
          </w:p>
        </w:tc>
      </w:tr>
      <w:tr>
        <w:trPr>
          <w:cantSplit/>
        </w:trPr>
        <w:tc>
          <w:tcPr>
            <w:tcW w:type="dxa" w:w="2304"/>
            <w:vAlign w:val="top"/>
            <w:shd w:fill="F0F6F8"/>
          </w:tcPr>
          <w:p>
            <w:pPr>
              <w:spacing w:after="100" w:before="80"/>
            </w:pPr>
            <w:r>
              <w:rPr>
                <w:sz w:val="18"/>
              </w:rPr>
              <w:t>Si se compra la anualidad</w:t>
            </w:r>
          </w:p>
        </w:tc>
        <w:tc>
          <w:tcPr>
            <w:tcW w:type="dxa" w:w="7488"/>
            <w:vAlign w:val="top"/>
            <w:shd w:fill="F0F6F8"/>
          </w:tcPr>
          <w:p>
            <w:pPr>
              <w:spacing w:after="100" w:before="80"/>
            </w:pPr>
            <w:r>
              <w:rPr>
                <w:sz w:val="18"/>
              </w:rPr>
              <w:t>Extender la prueba a un mes total, contando los primeros siete días. Confirmar por escrito las fechas y el periodo cubierto por la membresía.</w:t>
            </w:r>
          </w:p>
        </w:tc>
      </w:tr>
    </w:tbl>
    <w:p>
      <w:r>
        <w:t>Esta secuencia es un plan de acompañamiento comercial; los responsables y las sesiones se coordinan. No describe correos automáticos ni servicios adicionales con duración garantizada.</w:t>
      </w:r>
    </w:p>
    <w:p>
      <w:pPr>
        <w:pStyle w:val="Heading2"/>
      </w:pPr>
      <w:r>
        <w:t>Qué significa la extensión anual</w:t>
      </w:r>
    </w:p>
    <w:p>
      <w:pPr>
        <w:pStyle w:val="ListBullet"/>
      </w:pPr>
      <w:r>
        <w:t>Se adquiere una membresía pagada de un año. La extensión de evaluación llega a un mes total; no añade otro mes después de los siete días.</w:t>
      </w:r>
    </w:p>
    <w:p>
      <w:pPr>
        <w:pStyle w:val="ListBullet"/>
      </w:pPr>
      <w:r>
        <w:t>No implica membresía gratuita, cobro mensual, devolución automática ni una renovación consentida por el solo hecho de evaluar.</w:t>
      </w:r>
    </w:p>
    <w:p>
      <w:pPr>
        <w:pStyle w:val="ListBullet"/>
      </w:pPr>
      <w:r>
        <w:t>La prueba permite evaluar capacidades actuales del plan acordado; no convierte el roadmap en funcionalidades disponibles.</w:t>
      </w:r>
    </w:p>
    <w:p>
      <w:pPr>
        <w:pStyle w:val="Heading2"/>
      </w:pPr>
      <w:r>
        <w:t>Antes de aceptar un pago</w:t>
      </w:r>
    </w:p>
    <w:p>
      <w:r>
        <w:t>La propuesta aceptada debe fijar precio aplicable, impuestos si corresponden, fechas exactas de inicio y fin de la prueba, cálculo del mes total, inicio/final del periodo anual, si la evaluación cuenta dentro de ese periodo, fecha de cobro de la activación, reglas de cancelación/devolución y tratamiento de datos al terminar.</w:t>
      </w:r>
    </w:p>
    <w:p>
      <w:r>
        <w:t>El cargo único de activación es de $3.000.000 COP. La prueba inicial es de siete días; la extensión hasta un mes total requiere comprar la anualidad. La fecha de exigibilidad de la activación y su relación con ese pago deben quedar acordadas por escrito antes de contratar.</w:t>
      </w:r>
    </w:p>
    <w:p>
      <w:r>
        <w:br w:type="page"/>
      </w:r>
    </w:p>
    <w:p>
      <w:pPr>
        <w:pStyle w:val="Subtitle"/>
      </w:pPr>
      <w:r>
        <w:t>CONTRATACIÓN / EXTRAS</w:t>
      </w:r>
    </w:p>
    <w:p>
      <w:pPr>
        <w:pStyle w:val="Heading1"/>
      </w:pPr>
      <w:r>
        <w:t>Condiciones y ampliaciones</w:t>
      </w:r>
    </w:p>
    <w:p>
      <w:pPr>
        <w:pStyle w:val="Heading2"/>
      </w:pPr>
      <w:r>
        <w:t>Extras bajo cotización y alcance escrito</w:t>
      </w:r>
    </w:p>
    <w:tbl>
      <w:tblPr>
        <w:tblW w:type="auto" w:w="0"/>
        <w:jc w:val="center"/>
        <w:tblLayout w:type="fixed"/>
        <w:tblLook w:firstColumn="1" w:firstRow="1" w:lastColumn="0" w:lastRow="0" w:noHBand="0" w:noVBand="1" w:val="04A0"/>
      </w:tblPr>
      <w:tblGrid>
        <w:gridCol w:w="2376"/>
        <w:gridCol w:w="7416"/>
      </w:tblGrid>
      <w:tr>
        <w:trPr>
          <w:tblHeader/>
        </w:trPr>
        <w:tc>
          <w:tcPr>
            <w:tcW w:type="dxa" w:w="4946"/>
            <w:shd w:fill="102A43"/>
          </w:tcPr>
          <w:p>
            <w:pPr>
              <w:spacing w:after="100" w:before="80"/>
            </w:pPr>
            <w:r>
              <w:rPr>
                <w:b/>
                <w:color w:val="FFFFFF"/>
                <w:sz w:val="18"/>
              </w:rPr>
              <w:t>Extra</w:t>
            </w:r>
          </w:p>
        </w:tc>
        <w:tc>
          <w:tcPr>
            <w:tcW w:type="dxa" w:w="4946"/>
            <w:shd w:fill="102A43"/>
          </w:tcPr>
          <w:p>
            <w:pPr>
              <w:spacing w:after="100" w:before="80"/>
            </w:pPr>
            <w:r>
              <w:rPr>
                <w:b/>
                <w:color w:val="FFFFFF"/>
                <w:sz w:val="18"/>
              </w:rPr>
              <w:t>Qué se define antes de contratar</w:t>
            </w:r>
          </w:p>
        </w:tc>
      </w:tr>
      <w:tr>
        <w:trPr>
          <w:cantSplit/>
        </w:trPr>
        <w:tc>
          <w:tcPr>
            <w:tcW w:type="dxa" w:w="2376"/>
            <w:vAlign w:val="top"/>
            <w:shd w:fill="F0F6F8"/>
          </w:tcPr>
          <w:p>
            <w:pPr>
              <w:spacing w:after="100" w:before="80"/>
            </w:pPr>
            <w:r>
              <w:rPr>
                <w:sz w:val="18"/>
              </w:rPr>
              <w:t>Sucursal adicional</w:t>
            </w:r>
          </w:p>
        </w:tc>
        <w:tc>
          <w:tcPr>
            <w:tcW w:type="dxa" w:w="7416"/>
            <w:vAlign w:val="top"/>
            <w:shd w:fill="F0F6F8"/>
          </w:tcPr>
          <w:p>
            <w:pPr>
              <w:spacing w:after="100" w:before="80"/>
            </w:pPr>
            <w:r>
              <w:rPr>
                <w:sz w:val="18"/>
              </w:rPr>
              <w:t>Viabilidad técnica, capacidad habilitada, configuración, usuarios y capacitación. Los límites estándar son Core 1 sede y Growth hasta 5; la cotización no activa automáticamente capacidad adicional.</w:t>
            </w:r>
          </w:p>
        </w:tc>
      </w:tr>
      <w:tr>
        <w:trPr>
          <w:cantSplit/>
        </w:trPr>
        <w:tc>
          <w:tcPr>
            <w:tcW w:type="dxa" w:w="2376"/>
            <w:vAlign w:val="top"/>
          </w:tcPr>
          <w:p>
            <w:pPr>
              <w:spacing w:after="100" w:before="80"/>
            </w:pPr>
            <w:r>
              <w:rPr>
                <w:sz w:val="18"/>
              </w:rPr>
              <w:t>Integraciones bancarias</w:t>
            </w:r>
          </w:p>
        </w:tc>
        <w:tc>
          <w:tcPr>
            <w:tcW w:type="dxa" w:w="7416"/>
            <w:vAlign w:val="top"/>
          </w:tcPr>
          <w:p>
            <w:pPr>
              <w:spacing w:after="100" w:before="80"/>
            </w:pPr>
            <w:r>
              <w:rPr>
                <w:sz w:val="18"/>
              </w:rPr>
              <w:t>Factibilidad por entidad, acceso a archivos o APIs, datos, seguridad, pruebas, costos del banco y soporte. No se presentan como conciliación bancaria ya disponible.</w:t>
            </w:r>
          </w:p>
        </w:tc>
      </w:tr>
      <w:tr>
        <w:trPr>
          <w:cantSplit/>
        </w:trPr>
        <w:tc>
          <w:tcPr>
            <w:tcW w:type="dxa" w:w="2376"/>
            <w:vAlign w:val="top"/>
            <w:shd w:fill="F0F6F8"/>
          </w:tcPr>
          <w:p>
            <w:pPr>
              <w:spacing w:after="100" w:before="80"/>
            </w:pPr>
            <w:r>
              <w:rPr>
                <w:sz w:val="18"/>
              </w:rPr>
              <w:t>SLA y créditos de servicio</w:t>
            </w:r>
          </w:p>
        </w:tc>
        <w:tc>
          <w:tcPr>
            <w:tcW w:type="dxa" w:w="7416"/>
            <w:vAlign w:val="top"/>
            <w:shd w:fill="F0F6F8"/>
          </w:tcPr>
          <w:p>
            <w:pPr>
              <w:spacing w:after="100" w:before="80"/>
            </w:pPr>
            <w:r>
              <w:rPr>
                <w:sz w:val="18"/>
              </w:rPr>
              <w:t>Indicadores, ventanas de atención, severidades, respuesta/resolución, exclusiones y escala de créditos. No se promete 24/7 ni compensación automática sin SLA/MSA firmado.</w:t>
            </w:r>
          </w:p>
        </w:tc>
      </w:tr>
      <w:tr>
        <w:trPr>
          <w:cantSplit/>
        </w:trPr>
        <w:tc>
          <w:tcPr>
            <w:tcW w:type="dxa" w:w="2376"/>
            <w:vAlign w:val="top"/>
          </w:tcPr>
          <w:p>
            <w:pPr>
              <w:spacing w:after="100" w:before="80"/>
            </w:pPr>
            <w:r>
              <w:rPr>
                <w:sz w:val="18"/>
              </w:rPr>
              <w:t>Respaldos ampliados</w:t>
            </w:r>
          </w:p>
        </w:tc>
        <w:tc>
          <w:tcPr>
            <w:tcW w:type="dxa" w:w="7416"/>
            <w:vAlign w:val="top"/>
          </w:tcPr>
          <w:p>
            <w:pPr>
              <w:spacing w:after="100" w:before="80"/>
            </w:pPr>
            <w:r>
              <w:rPr>
                <w:sz w:val="18"/>
              </w:rPr>
              <w:t>Retención, frecuencia, volumen, ubicación independiente, pruebas de recuperación y exportación según alcance. No se confunden con conservación legal del historial.</w:t>
            </w:r>
          </w:p>
        </w:tc>
      </w:tr>
      <w:tr>
        <w:trPr>
          <w:cantSplit/>
        </w:trPr>
        <w:tc>
          <w:tcPr>
            <w:tcW w:type="dxa" w:w="2376"/>
            <w:vAlign w:val="top"/>
            <w:shd w:fill="F0F6F8"/>
          </w:tcPr>
          <w:p>
            <w:pPr>
              <w:spacing w:after="100" w:before="80"/>
            </w:pPr>
            <w:r>
              <w:rPr>
                <w:sz w:val="18"/>
              </w:rPr>
              <w:t>Migración y expediente ampliado</w:t>
            </w:r>
          </w:p>
        </w:tc>
        <w:tc>
          <w:tcPr>
            <w:tcW w:type="dxa" w:w="7416"/>
            <w:vAlign w:val="top"/>
            <w:shd w:fill="F0F6F8"/>
          </w:tcPr>
          <w:p>
            <w:pPr>
              <w:spacing w:after="100" w:before="80"/>
            </w:pPr>
            <w:r>
              <w:rPr>
                <w:sz w:val="18"/>
              </w:rPr>
              <w:t>Datos de origen, formatos, limpieza, validación, documentos y campos admitidos. La recuperación interna de clientes ocultos no equivale a migración desde cualquier sistema.</w:t>
            </w:r>
          </w:p>
        </w:tc>
      </w:tr>
    </w:tbl>
    <w:p>
      <w:pPr>
        <w:pStyle w:val="Heading2"/>
      </w:pPr>
      <w:r>
        <w:t>Reglas comerciales</w:t>
      </w:r>
    </w:p>
    <w:p>
      <w:pPr>
        <w:pStyle w:val="ListBullet"/>
      </w:pPr>
      <w:r>
        <w:t>Todos los valores están expresados en COP. El precio de lanzamiento corresponde al primer año pagado por anualidad, con vigencia a confirmar.</w:t>
      </w:r>
    </w:p>
    <w:p>
      <w:pPr>
        <w:pStyle w:val="ListBullet"/>
      </w:pPr>
      <w:r>
        <w:t>Core y Growth incluyen las capacidades descritas dentro de sus límites. Funciones fuera del alcance contratado se formalizan en un SOW adicional con entregables, cronograma y precio.</w:t>
      </w:r>
    </w:p>
    <w:p>
      <w:pPr>
        <w:pStyle w:val="ListBullet"/>
      </w:pPr>
      <w:r>
        <w:t>Soporte estándar/prioritario y ventanas de copias de 7/29 días conservan su referencia comercial. Horarios, canales, frecuencia y objetivos de recuperación se especifican en la política de servicio antes de contratar.</w:t>
      </w:r>
    </w:p>
    <w:p>
      <w:pPr>
        <w:pStyle w:val="ListBullet"/>
      </w:pPr>
      <w:r>
        <w:t>El propietario confirma los consentimientos de pago correspondientes. Una solicitud de prueba o el registro de una tarjeta no autorizan por sí solos renovaciones automáticas.</w:t>
      </w:r>
    </w:p>
    <w:p>
      <w:pPr>
        <w:pStyle w:val="ListBullet"/>
      </w:pPr>
      <w:r>
        <w:t>La operación objetivo de Currency Exchange es la casa de cambio colombiana. La cobertura regional de servicios de JokerLabs no implica compatibilidad normativa del producto en Perú o México.</w:t>
      </w:r>
    </w:p>
    <w:p>
      <w:pPr>
        <w:pStyle w:val="Heading2"/>
      </w:pPr>
      <w:r>
        <w:t>Siguiente paso</w:t>
      </w:r>
    </w:p>
    <w:p>
      <w:r>
        <w:t>Cuéntanos cuántas sedes operan, quién necesita acceso y qué flujo quieres evaluar. Acordamos el plan, las fechas de prueba y los criterios para decidir con evidencia.</w:t>
      </w:r>
    </w:p>
    <w:p>
      <w:r>
        <w:t>Solicita tu prueba de 7 días: jokerlabs.ai/es/currency-exchange</w:t>
        <w:br/>
        <w:t>Contacto: jokermaster@jokerlabs.ai · Cali, Colombia</w:t>
      </w:r>
    </w:p>
    <w:p>
      <w:r>
        <w:br w:type="page"/>
      </w:r>
    </w:p>
    <w:p>
      <w:pPr>
        <w:pStyle w:val="Heading1"/>
      </w:pPr>
      <w:r>
        <w:t>Alcance incluido para la liberación: reportería, contabilidad y finanzas</w:t>
      </w:r>
    </w:p>
    <w:p>
      <w:r>
        <w:t>Por decisión comercial del 16 de octubre de 2026, Core y Growth incluirán al liberar la aplicación el módulo de reportería, contabilidad y finanzas, sin recargo por este módulo ni modificación de los precios actuales. Se conservan los límites de sucursales, usuarios y las condiciones de servicio de cada plan, así como la prueba inicial de 7 días y su extensión a un mes total con la compra anual.</w:t>
      </w:r>
    </w:p>
    <w:p>
      <w:r>
        <w:t>El alcance de lanzamiento comprende reportes operativos de caja, compras, ventas, movimientos y cambios de tasas; filtros y exportaciones; margen de intermediación con su fórmula visible; catálogo de cuentas y comprobantes; asientos y reversión; cierre de períodos; balance de prueba, mayor, balance general y estado de resultados. La generación de archivos regulatorios conserva sus condiciones de configuración, permisos y revisión, sin prometer presentación ni aceptación automática.</w:t>
      </w:r>
    </w:p>
    <w:p>
      <w:r>
        <w:t>La entrega debe incluir pantallas utilizables y permisos para configurar, consultar y exportar la información financiera; registro o incorporación de gastos y ajustes que alimenten los estados; y conciliación entre las operaciones de cambio y sus asientos, con identificación de pendientes, motivos y reprocesamiento trazable. El margen de intermediación se distinguirá de la utilidad neta.</w:t>
      </w:r>
    </w:p>
    <w:p>
      <w:r>
        <w:t>Este es un compromiso de alcance para el lanzamiento, no una declaración de disponibilidad actual. Antes de liberar: validar de extremo a extremo compras, ventas, gastos, ajustes, reversión y cierre; verificar saldos y resultados contra casos conocidos; probar accesos y exportaciones; y resolver o exponer de forma recuperable toda operación pendiente de contabilización. La existencia de endpoints no constituye aceptación del módulo.</w:t>
      </w:r>
    </w:p>
    <w:p>
      <w:r>
        <w:t>La inclusión de este módulo no amplía automáticamente la oferta a crédito, conciliación bancaria, facturación electrónica o asistente de IA; estos conservan su alcance y estado previamente definidos.</w:t>
      </w:r>
    </w:p>
    <w:p>
      <w:pPr>
        <w:pStyle w:val="Heading1"/>
      </w:pPr>
      <w:r>
        <w:t>Implementación y puesta en marcha incluida en la activación</w:t>
      </w:r>
    </w:p>
    <w:p>
      <w:r>
        <w:t>La activación única de $3.000.000 COP incluye los siguientes servicios, aprobados por el propietario. No se modifica el importe ni se establece un calendario de pago nuevo.</w:t>
      </w:r>
    </w:p>
    <w:p>
      <w:pPr>
        <w:pStyle w:val="ListBullet"/>
      </w:pPr>
      <w:r>
        <w:t>Configuración de la empresa, sucursal, usuarios y permisos.</w:t>
      </w:r>
    </w:p>
    <w:p>
      <w:pPr>
        <w:pStyle w:val="ListBullet"/>
      </w:pPr>
      <w:r>
        <w:t>Parametrización inicial de divisas, tasas y saldos.</w:t>
      </w:r>
    </w:p>
    <w:p>
      <w:pPr>
        <w:pStyle w:val="ListBullet"/>
      </w:pPr>
      <w:r>
        <w:t>Capacitación del equipo.</w:t>
      </w:r>
    </w:p>
    <w:p>
      <w:pPr>
        <w:pStyle w:val="ListBullet"/>
      </w:pPr>
      <w:r>
        <w:t>Acompañamiento en la primera operación y cierre.</w:t>
      </w:r>
    </w:p>
    <w:p>
      <w:pPr>
        <w:pStyle w:val="ListBullet"/>
      </w:pPr>
      <w:r>
        <w:t>Carga de información inicial dentro del alcance acordado.</w:t>
      </w:r>
    </w:p>
    <w:p>
      <w:r>
        <w:t>Antes de iniciar se acuerdan fuentes, volumen y formato de la carga inicial, responsables y agenda de capacitación y acompañamiento. La migración adicional o compleja requiere cotización separada. Se conservan la prueba de 7 días, su extensión a un mes total con compra anual y el acuerdo escrito del calendario de cobro antes de cualquier pago.</w:t>
      </w:r>
    </w:p>
    <w:p>
      <w:pPr>
        <w:pStyle w:val="Heading1"/>
      </w:pPr>
      <w:r>
        <w:t>Growth: cotización personalizada</w:t>
      </w:r>
    </w:p>
    <w:p>
      <w:r>
        <w:t>Growth se ofrece mediante cotización según las sucursales requeridas y el acompañamiento. No se publica una anualidad, descuento, ahorro ni equivalencia mensual fija para Growth. La capacidad estándar del producto sigue limitada a cinco sucursales; cualquier ampliación requiere evaluación y habilitación. Se mantienen el núcleo incluido, la implementación y la estrategia de prueba. Las tarifas anteriores se conservan únicamente como referencia interna, no como oferta vigente.</w:t>
      </w:r>
    </w:p>
    <w:p>
      <w:pPr>
        <w:pStyle w:val="Heading1"/>
      </w:pPr>
      <w:r>
        <w:t>Precio y promoción</w:t>
      </w:r>
    </w:p>
    <w:p>
      <w:r>
        <w:t>Core muestra el equivalente aproximado de $109.900 COP + IVA al mes, con pago anual de $1.318.800 COP + IVA por el primer año inmediatamente visible. No se ofrece pago mensual. Growth conserva cotización personalizada. La implementación se cobra por separado y su tratamiento tributario se confirma en la propuesta. La promoción comienza con 7 días de prueba; comprar la anualidad extiende la evaluación a un mes total, incluidos esos 7 días, no un mes adicional. No modifica los términos pendientes del período anual ni promete devolución.</w:t>
      </w:r>
    </w:p>
    <w:p>
      <w:pPr>
        <w:pStyle w:val="Heading1"/>
      </w:pPr>
      <w:r>
        <w:t>Actualización aprobada de tarifa Core</w:t>
      </w:r>
    </w:p>
    <w:p>
      <w:r>
        <w:t>Sustituye los importes anteriores: equivalente mensual de $109.900 COP + IVA, con pago anual de lanzamiento de $1.318.800 COP + IVA (12 × $109.900). La tarifa anual regular continúa en $1.500.000 COP antes de IVA; el ahorro del primer año es $181.200 COP antes de IVA. Growth sigue bajo cotización y la implementación mantiene su importe. No se habilita pago mensual ni se cambia la promoción de 7 días / un mes total con compra anual. Este cambio actualiza la oferta comercial, no los cobros del backend.</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JokerLabs S.A.S. BIC · NIT 902.085.087-7  |  Propuesta v2.0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7F86"/>
      </w:rPr>
      <w:t>JOKERLABS  /  CURRENCY EXCHANGE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2232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A4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F8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02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02A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Currency Exchange — Planes, precios y alcance comercial</dc:title>
  <dc:subject>Ampliación de beneficios y prueba de 7 días; tarifas preservadas</dc:subject>
  <dc:creator>JokerLabs</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