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2A9D8F"/>
          <w:sz w:val="22"/>
        </w:rPr>
        <w:t>产品项目方案</w:t>
      </w:r>
    </w:p>
    <w:p>
      <w:pPr>
        <w:jc w:val="center"/>
      </w:pPr>
      <w:r>
        <w:rPr>
          <w:rFonts w:ascii="PingFang SC" w:hAnsi="PingFang SC" w:eastAsia="PingFang SC"/>
          <w:b/>
          <w:color w:val="183B56"/>
          <w:sz w:val="58"/>
        </w:rPr>
        <w:t>AI发型设计平台</w:t>
      </w:r>
    </w:p>
    <w:p>
      <w:pPr>
        <w:jc w:val="center"/>
      </w:pPr>
      <w:r>
        <w:rPr>
          <w:rFonts w:ascii="PingFang SC" w:hAnsi="PingFang SC" w:eastAsia="PingFang SC"/>
          <w:b w:val="0"/>
          <w:color w:val="5C6873"/>
          <w:sz w:val="28"/>
        </w:rPr>
        <w:t>个人体验与美发门店服务的一体化产品</w:t>
      </w:r>
    </w:p>
    <w:p>
      <w:pPr>
        <w:jc w:val="center"/>
      </w:pPr>
      <w:r>
        <w:rPr>
          <w:rFonts w:ascii="PingFang SC" w:hAnsi="PingFang SC" w:eastAsia="PingFang SC"/>
          <w:b w:val="0"/>
        </w:rPr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9792"/>
      </w:tblGrid>
      <w:tr>
        <w:tc>
          <w:tcPr>
            <w:tcW w:type="dxa" w:w="9576"/>
            <w:shd w:fill="EAF3F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2878A5"/>
                <w:sz w:val="20"/>
              </w:rPr>
              <w:t xml:space="preserve">项目决策  </w:t>
            </w:r>
            <w:r>
              <w:rPr>
                <w:rFonts w:ascii="PingFang SC" w:hAnsi="PingFang SC" w:eastAsia="PingFang SC"/>
                <w:b w:val="0"/>
                <w:color w:val="183B56"/>
                <w:sz w:val="20"/>
              </w:rPr>
              <w:t>第一版覆盖男女及长短发；采用统一AI发型设计核心，提供个人体验模式与门店服务模式。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PingFang SC" w:hAnsi="PingFang SC" w:eastAsia="PingFang SC"/>
          <w:b w:val="0"/>
        </w:rPr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4896"/>
        <w:gridCol w:w="4896"/>
      </w:tblGrid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版本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V1.1 开发就绪版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日期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2026年7月12日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阶段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开发准入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首发形态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响应式Web应用 / H5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核心目标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完成Sprint 0及P0公开体验MVP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PingFang SC" w:hAnsi="PingFang SC" w:eastAsia="PingFang SC"/>
          <w:b w:val="0"/>
          <w:color w:val="5C6873"/>
          <w:sz w:val="18"/>
        </w:rPr>
        <w:t>文档性质：产品、技术、AI、运营与商业化的一体化执行基线。</w:t>
      </w:r>
    </w:p>
    <w:p>
      <w:r>
        <w:br w:type="page"/>
      </w:r>
    </w:p>
    <w:p>
      <w:pPr>
        <w:pStyle w:val="Heading1"/>
      </w:pPr>
      <w:r>
        <w:t>1. 执行摘要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9792"/>
      </w:tblGrid>
      <w:tr>
        <w:tc>
          <w:tcPr>
            <w:tcW w:type="dxa" w:w="9576"/>
            <w:shd w:fill="EAF3F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2878A5"/>
                <w:sz w:val="20"/>
              </w:rPr>
              <w:t xml:space="preserve">产品定义  </w:t>
            </w:r>
            <w:r>
              <w:rPr>
                <w:rFonts w:ascii="PingFang SC" w:hAnsi="PingFang SC" w:eastAsia="PingFang SC"/>
                <w:b w:val="0"/>
                <w:color w:val="183B56"/>
                <w:sz w:val="20"/>
              </w:rPr>
              <w:t>面向个人用户与美发门店的AI发型决策平台，通过标准化发型库、个性化推荐、身份一致的效果预览和专业确认，降低发型选择的不确定性。</w:t>
            </w:r>
          </w:p>
        </w:tc>
      </w:tr>
    </w:tbl>
    <w:p>
      <w:pPr>
        <w:spacing w:after="20"/>
      </w:pPr>
    </w:p>
    <w:p>
      <w:pPr>
        <w:pStyle w:val="Heading2"/>
      </w:pPr>
      <w:r>
        <w:t>1.1 核心判断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个人版与门店版共用同一条“上传—选择—生成—比较—确认”主链路。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差异位于身份、数据归属、协作、经营管理和商业化层，不应拆成两套产品。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第一版覆盖男女及长短发会显著扩大质量矩阵，因此必须以标准发型模板、输入质量检测和失败降级控制风险。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首发重点不是自动判断谁适合什么，而是生成可信、可比较、可解释的候选方案。</w:t>
      </w:r>
    </w:p>
    <w:p>
      <w:pPr>
        <w:pStyle w:val="Heading2"/>
      </w:pPr>
      <w:r>
        <w:t>1.2 首发决策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决策项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V1选择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目标市场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个人公开体验 + 门店预留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先积累真实图片与反馈，同时避免未来重构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覆盖范围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男女、短中长发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满足明确产品方向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推荐方式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结构化问卷 + 规则排序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比纯模型诊断更可控、可解释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生成方式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模板化编辑生成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提高身份和背景一致性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终端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H5优先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开发快、分享和门店二维码接入方便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收费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测试期免费额度，后续积分包与SaaS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先验证质量和成本</w:t>
            </w:r>
          </w:p>
        </w:tc>
      </w:tr>
    </w:tbl>
    <w:p>
      <w:pPr>
        <w:spacing w:after="20"/>
      </w:pPr>
    </w:p>
    <w:p>
      <w:pPr>
        <w:pStyle w:val="Heading2"/>
      </w:pPr>
      <w:r>
        <w:t>1.3 立项成功条件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100名有效体验用户完成至少一次三方案生成。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身份一致性人工评分达到4.0/5，发型清晰度达到4.0/5。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至少60%的用户认为结果帮助其缩小选择范围。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生成成功率不低于90%，P95完整任务时间不超过180秒。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单个三方案任务的可变成本进入可持续收费区间。</w:t>
      </w:r>
    </w:p>
    <w:p>
      <w:pPr>
        <w:pStyle w:val="Heading1"/>
      </w:pPr>
      <w:r>
        <w:t>2. 产品战略与边界</w:t>
      </w:r>
    </w:p>
    <w:p>
      <w:pPr>
        <w:pStyle w:val="Heading2"/>
      </w:pPr>
      <w:r>
        <w:t>2.1 用户问题</w:t>
      </w:r>
    </w:p>
    <w:p>
      <w:r>
        <w:rPr>
          <w:rFonts w:ascii="PingFang SC" w:hAnsi="PingFang SC" w:eastAsia="PingFang SC"/>
          <w:b w:val="0"/>
        </w:rPr>
        <w:t>用户缺少对剪后效果的直观预期，发型师又难以仅靠语言建立共同理解。传统“明星参考图”没有考虑用户本人脸型、发量和打理条件，容易造成期望偏差。</w:t>
      </w:r>
    </w:p>
    <w:p>
      <w:pPr>
        <w:pStyle w:val="Heading2"/>
      </w:pPr>
      <w:r>
        <w:t>2.2 产品价值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用户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核心价值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完成信号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个人用户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低成本比较不同发型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选出至少一个愿意尝试的方案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顾客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与发型师建立共同参考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最终方案被双方确认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发型师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缩短沟通并管理预期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确认、调整或否决AI方案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门店经营者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把预览转化为预约与复购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形成可追踪的服务记录</w:t>
            </w:r>
          </w:p>
        </w:tc>
      </w:tr>
    </w:tbl>
    <w:p>
      <w:pPr>
        <w:spacing w:after="20"/>
      </w:pPr>
    </w:p>
    <w:p>
      <w:pPr>
        <w:pStyle w:val="Heading2"/>
      </w:pPr>
      <w:r>
        <w:t>2.3 非目标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不承诺100%还原真实剪后效果。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不进行颜值、年龄或人格评价。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不在V1建立完整CRM、收银和排班系统。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不支持无限开放式提示词或任意夸张造型。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不以AI结论替代发型师的专业判断。</w:t>
      </w:r>
    </w:p>
    <w:p>
      <w:r>
        <w:br w:type="page"/>
      </w:r>
    </w:p>
    <w:p>
      <w:pPr>
        <w:pStyle w:val="Heading1"/>
      </w:pPr>
      <w:r>
        <w:t>3. 用户、场景与旅程</w:t>
      </w:r>
    </w:p>
    <w:p>
      <w:pPr>
        <w:pStyle w:val="Heading2"/>
      </w:pPr>
      <w:r>
        <w:t>3.1 目标用户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典型需求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个人尝鲜者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快速查看换发型效果并保存分享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P0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有明确剪发计划者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降低选择风险，带图到店沟通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P0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门店顾客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在发型师协助下确认方案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P1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发型师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校验可实现性并给出专业调整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P1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店长/连锁运营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管理顾客、门店与转化数据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P2</w:t>
            </w:r>
          </w:p>
        </w:tc>
      </w:tr>
    </w:tbl>
    <w:p>
      <w:pPr>
        <w:spacing w:after="20"/>
      </w:pPr>
    </w:p>
    <w:p>
      <w:pPr>
        <w:pStyle w:val="Heading2"/>
      </w:pPr>
      <w:r>
        <w:t>3.2 个人体验主旅程</w:t>
      </w:r>
    </w:p>
    <w:p>
      <w:pPr>
        <w:pStyle w:val="ListNumber"/>
      </w:pPr>
      <w:r>
        <w:rPr>
          <w:rFonts w:ascii="PingFang SC" w:hAnsi="PingFang SC" w:eastAsia="PingFang SC"/>
          <w:b w:val="0"/>
        </w:rPr>
        <w:t>进入产品并理解结果仅供设计参考</w:t>
      </w:r>
    </w:p>
    <w:p>
      <w:pPr>
        <w:pStyle w:val="ListNumber"/>
      </w:pPr>
      <w:r>
        <w:rPr>
          <w:rFonts w:ascii="PingFang SC" w:hAnsi="PingFang SC" w:eastAsia="PingFang SC"/>
          <w:b w:val="0"/>
        </w:rPr>
        <w:t>上传清晰正脸或轻侧脸照片</w:t>
      </w:r>
    </w:p>
    <w:p>
      <w:pPr>
        <w:pStyle w:val="ListNumber"/>
      </w:pPr>
      <w:r>
        <w:rPr>
          <w:rFonts w:ascii="PingFang SC" w:hAnsi="PingFang SC" w:eastAsia="PingFang SC"/>
          <w:b w:val="0"/>
        </w:rPr>
        <w:t>选择当前发长、目标发长、刘海、卷度、颜色与核心诉求</w:t>
      </w:r>
    </w:p>
    <w:p>
      <w:pPr>
        <w:pStyle w:val="ListNumber"/>
      </w:pPr>
      <w:r>
        <w:rPr>
          <w:rFonts w:ascii="PingFang SC" w:hAnsi="PingFang SC" w:eastAsia="PingFang SC"/>
          <w:b w:val="0"/>
        </w:rPr>
        <w:t>从系统推荐中确认3个候选发型</w:t>
      </w:r>
    </w:p>
    <w:p>
      <w:pPr>
        <w:pStyle w:val="ListNumber"/>
      </w:pPr>
      <w:r>
        <w:rPr>
          <w:rFonts w:ascii="PingFang SC" w:hAnsi="PingFang SC" w:eastAsia="PingFang SC"/>
          <w:b w:val="0"/>
        </w:rPr>
        <w:t>等待生成并比较原图与三种方案</w:t>
      </w:r>
    </w:p>
    <w:p>
      <w:pPr>
        <w:pStyle w:val="ListNumber"/>
      </w:pPr>
      <w:r>
        <w:rPr>
          <w:rFonts w:ascii="PingFang SC" w:hAnsi="PingFang SC" w:eastAsia="PingFang SC"/>
          <w:b w:val="0"/>
        </w:rPr>
        <w:t>选择、评分、保存或删除结果</w:t>
      </w:r>
    </w:p>
    <w:p>
      <w:pPr>
        <w:pStyle w:val="ListNumber"/>
      </w:pPr>
      <w:r>
        <w:rPr>
          <w:rFonts w:ascii="PingFang SC" w:hAnsi="PingFang SC" w:eastAsia="PingFang SC"/>
          <w:b w:val="0"/>
        </w:rPr>
        <w:t>按需生成分享卡片或携带方案到店</w:t>
      </w:r>
    </w:p>
    <w:p>
      <w:pPr>
        <w:pStyle w:val="Heading2"/>
      </w:pPr>
      <w:r>
        <w:t>3.3 门店服务旅程</w:t>
      </w:r>
    </w:p>
    <w:p>
      <w:pPr>
        <w:pStyle w:val="ListNumber"/>
      </w:pPr>
      <w:r>
        <w:rPr>
          <w:rFonts w:ascii="PingFang SC" w:hAnsi="PingFang SC" w:eastAsia="PingFang SC"/>
          <w:b w:val="0"/>
        </w:rPr>
        <w:t>顾客扫描门店专属二维码进入</w:t>
      </w:r>
    </w:p>
    <w:p>
      <w:pPr>
        <w:pStyle w:val="ListNumber"/>
      </w:pPr>
      <w:r>
        <w:rPr>
          <w:rFonts w:ascii="PingFang SC" w:hAnsi="PingFang SC" w:eastAsia="PingFang SC"/>
          <w:b w:val="0"/>
        </w:rPr>
        <w:t>完成与个人版相同的诊断和生成</w:t>
      </w:r>
    </w:p>
    <w:p>
      <w:pPr>
        <w:pStyle w:val="ListNumber"/>
      </w:pPr>
      <w:r>
        <w:rPr>
          <w:rFonts w:ascii="PingFang SC" w:hAnsi="PingFang SC" w:eastAsia="PingFang SC"/>
          <w:b w:val="0"/>
        </w:rPr>
        <w:t>结果自动归属门店服务会话</w:t>
      </w:r>
    </w:p>
    <w:p>
      <w:pPr>
        <w:pStyle w:val="ListNumber"/>
      </w:pPr>
      <w:r>
        <w:rPr>
          <w:rFonts w:ascii="PingFang SC" w:hAnsi="PingFang SC" w:eastAsia="PingFang SC"/>
          <w:b w:val="0"/>
        </w:rPr>
        <w:t>发型师标注可实现、需调整或不建议</w:t>
      </w:r>
    </w:p>
    <w:p>
      <w:pPr>
        <w:pStyle w:val="ListNumber"/>
      </w:pPr>
      <w:r>
        <w:rPr>
          <w:rFonts w:ascii="PingFang SC" w:hAnsi="PingFang SC" w:eastAsia="PingFang SC"/>
          <w:b w:val="0"/>
        </w:rPr>
        <w:t>顾客与发型师确认最终方案</w:t>
      </w:r>
    </w:p>
    <w:p>
      <w:pPr>
        <w:pStyle w:val="ListNumber"/>
      </w:pPr>
      <w:r>
        <w:rPr>
          <w:rFonts w:ascii="PingFang SC" w:hAnsi="PingFang SC" w:eastAsia="PingFang SC"/>
          <w:b w:val="0"/>
        </w:rPr>
        <w:t>服务完成后记录真实成品和满意度</w:t>
      </w:r>
    </w:p>
    <w:p>
      <w:pPr>
        <w:pStyle w:val="ListNumber"/>
      </w:pPr>
      <w:r>
        <w:rPr>
          <w:rFonts w:ascii="PingFang SC" w:hAnsi="PingFang SC" w:eastAsia="PingFang SC"/>
          <w:b w:val="0"/>
        </w:rPr>
        <w:t>系统用于复购提醒与历史方案查看</w:t>
      </w:r>
    </w:p>
    <w:p>
      <w:pPr>
        <w:pStyle w:val="Heading2"/>
      </w:pPr>
      <w:r>
        <w:t>3.4 异常与空状态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照片模糊、遮挡或多人：阻止生成并给出重拍指引。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当前发长不足以支持目标：展示“需接发/留长/烫染”等现实条件。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模型失败：保留任务、自动重试一次；仍失败则退回额度。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结果改变身份或明显失真：允许单张免费重生成并提交问题标签。</w:t>
      </w:r>
    </w:p>
    <w:p>
      <w:pPr>
        <w:pStyle w:val="Heading1"/>
      </w:pPr>
      <w:r>
        <w:t>4. 信息架构与功能范围</w:t>
      </w:r>
    </w:p>
    <w:p>
      <w:pPr>
        <w:pStyle w:val="Heading2"/>
      </w:pPr>
      <w:r>
        <w:t>4.1 产品模块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个人模式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门店模式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账号与权限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游客/手机号登录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门店、员工、角色权限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发型设计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上传、问卷、推荐、生成、比较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同核心能力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结果管理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临时历史、保存、删除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顾客档案与服务记录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专业确认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不强制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发型师确认、调整、备注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商业化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免费次数、积分包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订阅、用量包、多门店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数据分析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个人任务状态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漏斗、成本、转化、质量</w:t>
            </w:r>
          </w:p>
        </w:tc>
      </w:tr>
    </w:tbl>
    <w:p>
      <w:pPr>
        <w:spacing w:after="20"/>
      </w:pPr>
    </w:p>
    <w:p>
      <w:pPr>
        <w:pStyle w:val="Heading2"/>
      </w:pPr>
      <w:r>
        <w:t>4.2 P0：公开体验MVP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隐私授权、照片上传与质量检测。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结构化需求问卷，覆盖男女及短中长发。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标准发型库浏览、筛选与规则推荐。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单次生成3个方案，支持原图对比。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推荐理由、现实条件、打理难度与风险提示。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任务状态、失败重试、额度退回。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保存、分享、删除及用户反馈。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运营后台：发型模板、任务、成本、异常和反馈。</w:t>
      </w:r>
    </w:p>
    <w:p>
      <w:pPr>
        <w:pStyle w:val="Heading2"/>
      </w:pPr>
      <w:r>
        <w:t>4.3 P1：门店试用版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门店空间、专属二维码与品牌信息。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顾客服务会话、发型师确认和方案备注。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顾客授权后保存档案，支持到期删除。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预约意向、服务结果和满意度记录。</w:t>
      </w:r>
    </w:p>
    <w:p>
      <w:pPr>
        <w:pStyle w:val="Heading2"/>
      </w:pPr>
      <w:r>
        <w:t>4.4 P2：规模化能力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多门店与员工权限、套餐计费、连锁看板。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真实成品反馈驱动的推荐排序优化。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CRM、预约、支付和私域系统对接。</w:t>
      </w:r>
    </w:p>
    <w:p>
      <w:r>
        <w:br w:type="page"/>
      </w:r>
    </w:p>
    <w:p>
      <w:pPr>
        <w:pStyle w:val="Heading1"/>
      </w:pPr>
      <w:r>
        <w:t>5. 发型库与推荐体系</w:t>
      </w:r>
    </w:p>
    <w:p>
      <w:pPr>
        <w:pStyle w:val="Heading2"/>
      </w:pPr>
      <w:r>
        <w:t>5.1 发型分类维度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4896"/>
        <w:gridCol w:w="4896"/>
      </w:tblGrid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枚举示例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适用人群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男性、女性、中性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目标长度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极短、短、中、长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结构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层次、齐切、渐变、碎发、露额、刘海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纹理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直、微卷、卷、蓬松、湿发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颜色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自然黑、棕色系、冷色系、暖色系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维护成本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低、中、高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施工条件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剪、烫、染、接发、留长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风格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职业、减龄、清爽、复古、时尚、自然</w:t>
            </w:r>
          </w:p>
        </w:tc>
      </w:tr>
    </w:tbl>
    <w:p>
      <w:pPr>
        <w:spacing w:after="20"/>
      </w:pPr>
    </w:p>
    <w:p>
      <w:pPr>
        <w:pStyle w:val="Heading2"/>
      </w:pPr>
      <w:r>
        <w:t>5.2 推荐逻辑</w:t>
      </w:r>
    </w:p>
    <w:p>
      <w:r>
        <w:rPr>
          <w:rFonts w:ascii="PingFang SC" w:hAnsi="PingFang SC" w:eastAsia="PingFang SC"/>
          <w:b w:val="0"/>
        </w:rPr>
        <w:t>V1采用“硬约束过滤 + 软偏好排序”，而非让大模型自由推荐。硬约束包括当前长度、目标长度、是否接受烫染、职业限制和每日打理时间；软偏好包括风格、刘海、蓬松度和颜色。</w:t>
      </w:r>
    </w:p>
    <w:p>
      <w:pPr>
        <w:pStyle w:val="Heading2"/>
      </w:pPr>
      <w:r>
        <w:t>5.3 首发发型库规模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建议模板数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男性短发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18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覆盖渐变、碎盖、侧分、背头、纹理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男性中长发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8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覆盖中分、狼尾、自然卷等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女性短发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12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覆盖精灵短发、波波、层次短发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女性中发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12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覆盖锁骨、层次、卷度和刘海组合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女性长发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15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覆盖直发、卷发、层次与多类刘海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中性风格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5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弱化性别标签，可跨组使用</w:t>
            </w:r>
          </w:p>
        </w:tc>
      </w:tr>
    </w:tbl>
    <w:p>
      <w:pPr>
        <w:spacing w:after="20"/>
      </w:pP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9792"/>
      </w:tblGrid>
      <w:tr>
        <w:tc>
          <w:tcPr>
            <w:tcW w:type="dxa" w:w="9576"/>
            <w:shd w:fill="FFF7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C28B2C"/>
                <w:sz w:val="20"/>
              </w:rPr>
              <w:t xml:space="preserve">范围约束  </w:t>
            </w:r>
            <w:r>
              <w:rPr>
                <w:rFonts w:ascii="PingFang SC" w:hAnsi="PingFang SC" w:eastAsia="PingFang SC"/>
                <w:b w:val="0"/>
                <w:color w:val="183B56"/>
                <w:sz w:val="20"/>
              </w:rPr>
              <w:t>首发约70个标准模板。颜色作为独立参数，不为每种颜色复制完整模板，避免组合爆炸。</w:t>
            </w:r>
          </w:p>
        </w:tc>
      </w:tr>
    </w:tbl>
    <w:p>
      <w:pPr>
        <w:spacing w:after="20"/>
      </w:pPr>
    </w:p>
    <w:p>
      <w:pPr>
        <w:pStyle w:val="Heading1"/>
      </w:pPr>
      <w:r>
        <w:t>6. AI能力合同</w:t>
      </w:r>
    </w:p>
    <w:p>
      <w:pPr>
        <w:pStyle w:val="Heading2"/>
      </w:pPr>
      <w:r>
        <w:t>6.1 输入合同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单人、无遮挡、清晰、光线均匀的正脸或轻侧脸照片。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最短边不低于768像素，支持JPEG、PNG、HEIC转换。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明确获得本人或监护人授权；未成年人场景默认不开放。</w:t>
      </w:r>
    </w:p>
    <w:p>
      <w:pPr>
        <w:pStyle w:val="Heading2"/>
      </w:pPr>
      <w:r>
        <w:t>6.2 输出合同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保持人物身份、脸型、五官、肤色、姿态和背景基本一致。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只修改头发区域及必要的边缘遮挡，不进行美颜和年龄变化。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每个方案包含模板ID、推荐理由、现实条件、打理难度、免责声明和生成图。</w:t>
      </w:r>
    </w:p>
    <w:p>
      <w:pPr>
        <w:pStyle w:val="Heading2"/>
      </w:pPr>
      <w:r>
        <w:t>6.3 禁止行为与降级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不得虚增不现实的发量、改变发际线事实或隐藏明显脱发条件。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不得输出冒犯性身体评价或确定性适配结论。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无法可靠生成时，应拒绝并提示重拍、换模板或转人工，不输出低质量结果。</w:t>
      </w:r>
    </w:p>
    <w:p>
      <w:pPr>
        <w:pStyle w:val="Heading2"/>
      </w:pPr>
      <w:r>
        <w:t>6.4 模型策略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V1策略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后备方案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照片质检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视觉模型/规则检测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人工问题标签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推荐排序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规则引擎 + 结构化模型说明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仅展示筛选结果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图像生成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支持参考图编辑的合规模型API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第二供应商或队列重试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安全审核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内容安全与人脸政策检查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阻断并退回额度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AI评估与质量门槛</w:t>
      </w:r>
    </w:p>
    <w:p>
      <w:pPr>
        <w:pStyle w:val="Heading2"/>
      </w:pPr>
      <w:r>
        <w:t>7.1 黄金测试集</w:t>
      </w:r>
    </w:p>
    <w:p>
      <w:r>
        <w:rPr>
          <w:rFonts w:ascii="PingFang SC" w:hAnsi="PingFang SC" w:eastAsia="PingFang SC"/>
          <w:b w:val="0"/>
        </w:rPr>
        <w:t>上线前建立不少于120张经授权测试照片，覆盖性别表达、短中长发、不同脸型、发量、发际线、肤色、眼镜、光照和背景。每张照片至少测试3种目标发型，形成不低于360个样本结果。</w:t>
      </w:r>
    </w:p>
    <w:p>
      <w:pPr>
        <w:pStyle w:val="Heading2"/>
      </w:pPr>
      <w:r>
        <w:t>7.2 人工评分量表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上线门槛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身份一致性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是否仍明显是同一人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均值≥4.0/5，严重失败&lt;3%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发型清晰度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轮廓、发丝与边缘是否自然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均值≥4.0/5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局部完整性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耳朵、额头、眼镜和背景是否异常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严重缺陷&lt;5%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现实可实现性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发型师判断是否具备实现条件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可实现/条件实现≥75%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偏差透明度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是否正确提示留长、烫染和发量限制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关键提示召回≥90%</w:t>
            </w:r>
          </w:p>
        </w:tc>
      </w:tr>
    </w:tbl>
    <w:p>
      <w:pPr>
        <w:spacing w:after="20"/>
      </w:pPr>
    </w:p>
    <w:p>
      <w:pPr>
        <w:pStyle w:val="Heading2"/>
      </w:pPr>
      <w:r>
        <w:t>7.3 回归门禁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更换模型、提示词、参考模板或后处理逻辑，必须重跑固定黄金集。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身份一致性下降0.2分以上或严重失败率超过3%，禁止发布。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任一人群分组的质量显著低于总体，需限制对应模板或单独修复。</w:t>
      </w:r>
    </w:p>
    <w:p>
      <w:pPr>
        <w:pStyle w:val="Heading2"/>
      </w:pPr>
      <w:r>
        <w:t>7.4 线上质量监控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记录生成成功率、重试率、用户差评标签、单任务成本和耗时。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支持用户标记“不像本人、头发不自然、改变脸型、无法实现、其他”。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出现隐私泄露、跨用户数据、明显身份替换时立即关闭生成功能。</w:t>
      </w:r>
    </w:p>
    <w:p>
      <w:pPr>
        <w:pStyle w:val="Heading1"/>
      </w:pPr>
      <w:r>
        <w:t>8. 数据、隐私与安全</w:t>
      </w:r>
    </w:p>
    <w:p>
      <w:pPr>
        <w:pStyle w:val="Heading2"/>
      </w:pPr>
      <w:r>
        <w:t>8.1 数据原则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数据最小化：仅收集完成发型设计所需信息。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目的限定：未经单独授权，不用于训练、广告或对外展示。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默认短期保存：游客原图及结果建议24小时后删除；登录用户可主动延长。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门店档案必须由顾客明确授权，门店仅能访问所属服务记录。</w:t>
      </w:r>
    </w:p>
    <w:p>
      <w:pPr>
        <w:pStyle w:val="Heading2"/>
      </w:pPr>
      <w:r>
        <w:t>8.2 关键数据对象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保存策略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用户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user_id、登录方式、授权状态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账号存续期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门店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tenant_id、品牌、套餐、状态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合同存续期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设计任务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task_id、用户/门店、参数、状态、成本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去标识化后用于运营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媒体文件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原图、结果图、缩略图、删除时间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按授权期限自动清理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发型模板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template_id、标签、约束、版本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长期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反馈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评分、问题标签、选择结果</w:t>
            </w:r>
          </w:p>
        </w:tc>
        <w:tc>
          <w:tcPr>
            <w:tcW w:type="dxa" w:w="27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去标识化长期保留</w:t>
            </w:r>
          </w:p>
        </w:tc>
      </w:tr>
    </w:tbl>
    <w:p>
      <w:pPr>
        <w:spacing w:after="20"/>
      </w:pPr>
    </w:p>
    <w:p>
      <w:pPr>
        <w:pStyle w:val="Heading2"/>
      </w:pPr>
      <w:r>
        <w:t>8.3 安全要求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对象存储使用私有桶和短期签名URL；数据库不保存公开图片地址。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多租户查询强制校验tenant_id，禁止仅依赖前端过滤。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管理后台采用最小权限、操作日志和高风险操作二次确认。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供应商请求关闭训练用途，并在隐私政策中披露处理方。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提供数据导出、撤回授权和删除入口，删除任务可审计。</w:t>
      </w:r>
    </w:p>
    <w:p>
      <w:r>
        <w:br w:type="page"/>
      </w:r>
    </w:p>
    <w:p>
      <w:pPr>
        <w:pStyle w:val="Heading1"/>
      </w:pPr>
      <w:r>
        <w:t>9. 技术架构方案</w:t>
      </w:r>
    </w:p>
    <w:p>
      <w:pPr>
        <w:pStyle w:val="Heading2"/>
      </w:pPr>
      <w:r>
        <w:t>9.1 架构原则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统一核心、租户可选：个人任务tenant_id为空，门店任务绑定tenant_id。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异步生成：上传后创建任务，经队列调度模型API，前端轮询或订阅状态。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供应商可替换：模型适配层统一输入输出、重试、成本和审计。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隐私优先：媒体与业务数据分离，所有访问使用短期授权。</w:t>
      </w:r>
    </w:p>
    <w:p>
      <w:pPr>
        <w:pStyle w:val="Heading2"/>
      </w:pPr>
      <w:r>
        <w:t>9.2 逻辑组件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建议实现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Web/H5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上传、问卷、比较、反馈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Next.js/React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业务API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用户、任务、模板、门店、计费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TypeScript服务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任务队列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异步生成、重试、限流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Redis队列/托管队列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AI编排层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质检、推荐、提示词、模型路由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独立模块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数据库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业务对象、权限、事件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PostgreSQL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对象存储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原图、结果图、缩略图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私有对象存储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运营后台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模板、质量、成本、异常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同一前端后台路由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观测系统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日志、指标、错误和成本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结构化日志 + 告警</w:t>
            </w:r>
          </w:p>
        </w:tc>
      </w:tr>
    </w:tbl>
    <w:p>
      <w:pPr>
        <w:spacing w:after="20"/>
      </w:pPr>
    </w:p>
    <w:p>
      <w:pPr>
        <w:pStyle w:val="Heading2"/>
      </w:pPr>
      <w:r>
        <w:t>9.3 核心接口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POST /media/upload-url：申请受控上传地址。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POST /design-tasks：创建发型设计任务。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GET /design-tasks/{id}：查询任务及三方案状态。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POST /design-tasks/{id}/retry：重试指定失败方案。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POST /design-tasks/{id}/feedback：提交选择和质量反馈。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DELETE /design-tasks/{id}/media：删除原图及结果。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POST /salon-sessions：创建门店服务会话。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POST /salon-sessions/{id}/confirm：发型师确认或调整。</w:t>
      </w:r>
    </w:p>
    <w:p>
      <w:pPr>
        <w:pStyle w:val="Heading2"/>
      </w:pPr>
      <w:r>
        <w:t>9.4 生成任务状态</w:t>
      </w:r>
    </w:p>
    <w:p>
      <w:r>
        <w:rPr>
          <w:rFonts w:ascii="PingFang SC" w:hAnsi="PingFang SC" w:eastAsia="PingFang SC"/>
          <w:b w:val="0"/>
        </w:rPr>
        <w:t>draft → validating → queued → generating → partially_completed/completed；异常进入 action_required、failed 或 deleted。每次状态变化必须写入事件日志。</w:t>
      </w:r>
    </w:p>
    <w:p>
      <w:pPr>
        <w:pStyle w:val="Heading1"/>
      </w:pPr>
      <w:r>
        <w:t>10. 详细需求与验收标准</w:t>
      </w:r>
    </w:p>
    <w:p>
      <w:pPr>
        <w:pStyle w:val="Heading2"/>
      </w:pPr>
      <w:r>
        <w:t>10.1 上传与质检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Given 用户上传合规单人照片，When 质检通过，Then 进入需求问卷并保存授权记录。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Given 照片模糊、多人或遮挡，When 质检失败，Then 不创建生成任务并明确提示重拍原因。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Given 用户未勾选处理授权，When 点击继续，Then 系统不得上传原图。</w:t>
      </w:r>
    </w:p>
    <w:p>
      <w:pPr>
        <w:pStyle w:val="Heading2"/>
      </w:pPr>
      <w:r>
        <w:t>10.2 推荐与生成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Given 用户完成必填问题，When 请求推荐，Then 返回3—8个满足硬约束的候选模板。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Given 用户选定3个模板，When 提交生成，Then 系统创建可追踪的异步任务并展示进度。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Given 仅部分方案成功，When 任务结束，Then 用户可查看成功结果，并对失败方案免费重试。</w:t>
      </w:r>
    </w:p>
    <w:p>
      <w:pPr>
        <w:pStyle w:val="Heading2"/>
      </w:pPr>
      <w:r>
        <w:t>10.3 结果与控制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Given 结果完成，When 用户打开比较页，Then 可在原图与任一方案间切换或滑动比较。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Given 用户选择删除，When 二次确认完成，Then 媒体立即不可访问，并进入后台清理队列。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Given 用户提交质量问题，When 保存反馈，Then 反馈必须关联模型、模板、提示词和任务版本。</w:t>
      </w:r>
    </w:p>
    <w:p>
      <w:pPr>
        <w:pStyle w:val="Heading2"/>
      </w:pPr>
      <w:r>
        <w:t>10.4 门店隔离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Given 用户从门店二维码进入，When 创建任务，Then task必须绑定正确tenant_id。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Given 其他门店员工请求该任务，When 权限校验失败，Then 返回无权限且不暴露任务是否存在。</w:t>
      </w:r>
    </w:p>
    <w:p>
      <w:r>
        <w:br w:type="page"/>
      </w:r>
    </w:p>
    <w:p>
      <w:pPr>
        <w:pStyle w:val="Heading1"/>
      </w:pPr>
      <w:r>
        <w:t>11. 指标体系与实验计划</w:t>
      </w:r>
    </w:p>
    <w:p>
      <w:pPr>
        <w:pStyle w:val="Heading2"/>
      </w:pPr>
      <w:r>
        <w:t>11.1 北极星指标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9792"/>
      </w:tblGrid>
      <w:tr>
        <w:tc>
          <w:tcPr>
            <w:tcW w:type="dxa" w:w="9576"/>
            <w:shd w:fill="EAF3F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2878A5"/>
                <w:sz w:val="20"/>
              </w:rPr>
              <w:t xml:space="preserve">北极星指标  </w:t>
            </w:r>
            <w:r>
              <w:rPr>
                <w:rFonts w:ascii="PingFang SC" w:hAnsi="PingFang SC" w:eastAsia="PingFang SC"/>
                <w:b w:val="0"/>
                <w:color w:val="183B56"/>
                <w:sz w:val="20"/>
              </w:rPr>
              <w:t>每周被用户明确选定的有效发型方案数。有效方案必须生成成功、通过基本质量检查，并获得“愿意尝试”选择。</w:t>
            </w:r>
          </w:p>
        </w:tc>
      </w:tr>
    </w:tbl>
    <w:p>
      <w:pPr>
        <w:spacing w:after="20"/>
      </w:pPr>
    </w:p>
    <w:p>
      <w:pPr>
        <w:pStyle w:val="Heading2"/>
      </w:pPr>
      <w:r>
        <w:t>11.2 指标分层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首轮目标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获客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访问→开始上传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≥25%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激活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上传→完成三方案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≥65%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价值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完成→选定至少一款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≥60%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质量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身份一致性评分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≥4.0/5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可靠性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三方案任务成功率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≥90%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效率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P95完整任务耗时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≤180秒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成本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三方案可变成本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低于计划售价的30%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风险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严重身份/隐私事故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0</w:t>
            </w:r>
          </w:p>
        </w:tc>
      </w:tr>
    </w:tbl>
    <w:p>
      <w:pPr>
        <w:spacing w:after="20"/>
      </w:pPr>
    </w:p>
    <w:p>
      <w:pPr>
        <w:pStyle w:val="Heading2"/>
      </w:pPr>
      <w:r>
        <w:t>11.3 三阶段验证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样本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验证重点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封闭测试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20人/60任务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输入、生成质量、异常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无P0缺陷，核心质量≥4.0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公开灰度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100人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完成率、选择率、成本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完成率≥65%，选择率≥60%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门店试点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3—5家/100次服务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沟通、成交、可实现性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发型师认可≥70%，无重大客诉</w:t>
            </w:r>
          </w:p>
        </w:tc>
      </w:tr>
    </w:tbl>
    <w:p>
      <w:pPr>
        <w:spacing w:after="20"/>
      </w:pPr>
    </w:p>
    <w:p>
      <w:pPr>
        <w:pStyle w:val="Heading2"/>
      </w:pPr>
      <w:r>
        <w:t>11.4 关键事件</w:t>
      </w:r>
    </w:p>
    <w:p>
      <w:r>
        <w:rPr>
          <w:rFonts w:ascii="PingFang SC" w:hAnsi="PingFang SC" w:eastAsia="PingFang SC"/>
          <w:b w:val="0"/>
        </w:rPr>
        <w:t>visit、upload_started、upload_passed、questionnaire_completed、templates_selected、generation_started、generation_completed、result_selected、result_shared、feedback_submitted、media_deleted、salon_confirmed、appointment_intent。</w:t>
      </w:r>
    </w:p>
    <w:p>
      <w:pPr>
        <w:pStyle w:val="Heading1"/>
      </w:pPr>
      <w:r>
        <w:t>12. 商业模式与单位经济</w:t>
      </w:r>
    </w:p>
    <w:p>
      <w:pPr>
        <w:pStyle w:val="Heading2"/>
      </w:pPr>
      <w:r>
        <w:t>12.1 个人用户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新用户获得一次低分辨率或带水印体验。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按积分购买三方案任务、高清导出和额外重生成。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正式定价必须以实际模型成本、支付费率、退款率和获客成本倒推。</w:t>
      </w:r>
    </w:p>
    <w:p>
      <w:pPr>
        <w:pStyle w:val="Heading2"/>
      </w:pPr>
      <w:r>
        <w:t>12.2 门店客户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单店基础订阅：门店空间、品牌页、固定月度额度和顾客记录。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增长套餐：更多额度、员工账号、数据看板与自定义发型库。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连锁套餐：多门店、总部权限、API和独立部署选项。</w:t>
      </w:r>
    </w:p>
    <w:p>
      <w:pPr>
        <w:pStyle w:val="Heading2"/>
      </w:pPr>
      <w:r>
        <w:t>12.3 单位经济公式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9792"/>
      </w:tblGrid>
      <w:tr>
        <w:tc>
          <w:tcPr>
            <w:tcW w:type="dxa" w:w="9576"/>
            <w:shd w:fill="FFF7E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C28B2C"/>
                <w:sz w:val="20"/>
              </w:rPr>
              <w:t xml:space="preserve">贡献毛利  </w:t>
            </w:r>
            <w:r>
              <w:rPr>
                <w:rFonts w:ascii="PingFang SC" w:hAnsi="PingFang SC" w:eastAsia="PingFang SC"/>
                <w:b w:val="0"/>
                <w:color w:val="183B56"/>
                <w:sz w:val="20"/>
              </w:rPr>
              <w:t>任务售价 − 模型生成成本 − 存储与带宽 − 支付通道费 − 退款损失。正式开放付费前，目标贡献毛利率不低于70%。</w:t>
            </w:r>
          </w:p>
        </w:tc>
      </w:tr>
    </w:tbl>
    <w:p>
      <w:pPr>
        <w:spacing w:after="20"/>
      </w:pPr>
    </w:p>
    <w:p>
      <w:pPr>
        <w:pStyle w:val="Heading2"/>
      </w:pPr>
      <w:r>
        <w:t>12.4 收费门槛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没有达到身份一致性和成功率门槛前，不开放正式收费。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用户因系统错误或严重失真重生成，不重复扣费。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门店套餐必须体现经营价值，不能只包装成更便宜的图片额度。</w:t>
      </w:r>
    </w:p>
    <w:p>
      <w:r>
        <w:br w:type="page"/>
      </w:r>
    </w:p>
    <w:p>
      <w:pPr>
        <w:pStyle w:val="Heading1"/>
      </w:pPr>
      <w:r>
        <w:t>13. 上线与增长方案</w:t>
      </w:r>
    </w:p>
    <w:p>
      <w:pPr>
        <w:pStyle w:val="Heading2"/>
      </w:pPr>
      <w:r>
        <w:t>13.1 冷启动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用公开体验版获取首批100名用户，不承诺专业诊断。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以“带一张更清楚的参考图去理发店”为核心传播价值。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邀请发型师对匿名结果做可实现性评分，建立专业反馈池。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从高质量案例中制作前后对比内容，但必须取得独立展示授权。</w:t>
      </w:r>
    </w:p>
    <w:p>
      <w:pPr>
        <w:pStyle w:val="Heading2"/>
      </w:pPr>
      <w:r>
        <w:t>13.2 门店获取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用真实个人版数据和案例，而非概念演示拜访门店。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向门店提供14天试用和专属二维码，验证服务会话数量。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优先寻找愿意参与产品共创、客群稳定的小型门店。</w:t>
      </w:r>
    </w:p>
    <w:p>
      <w:pPr>
        <w:pStyle w:val="Heading2"/>
      </w:pPr>
      <w:r>
        <w:t>13.3 增长闭环</w:t>
      </w:r>
    </w:p>
    <w:p>
      <w:r>
        <w:rPr>
          <w:rFonts w:ascii="PingFang SC" w:hAnsi="PingFang SC" w:eastAsia="PingFang SC"/>
          <w:b w:val="0"/>
        </w:rPr>
        <w:t>个人用户分享方案带来新用户；用户携带方案到店产生门店线索；门店确认和真实成品反向提高模板质量；更可信的结果继续提高分享与采用。</w:t>
      </w:r>
    </w:p>
    <w:p>
      <w:pPr>
        <w:pStyle w:val="Heading2"/>
      </w:pPr>
      <w:r>
        <w:t>13.4 对外表述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推荐表述：AI辅助发型预览与设计参考。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禁止表述：100%还原、保证适合、保证剪出同款、AI专业诊断。</w:t>
      </w:r>
    </w:p>
    <w:p>
      <w:pPr>
        <w:pStyle w:val="Heading1"/>
      </w:pPr>
      <w:r>
        <w:t>14. 项目计划与资源</w:t>
      </w:r>
    </w:p>
    <w:p>
      <w:pPr>
        <w:pStyle w:val="Heading2"/>
      </w:pPr>
      <w:r>
        <w:t>14.1 12周实施计划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主要交付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退出条件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产品与技术基线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1—2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需求、原型、数据模型、供应商试验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关键路径与模型可行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核心MVP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3—6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上传、问卷、发型库、生成、比较、后台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端到端流程可用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质量与合规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7—8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黄金集、评测、授权删除、监控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达到封闭测试门槛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灰度测试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9—10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20—100人测试、修复、成本测算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核心指标达标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公开Beta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11—12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额度、分享、运营和支持机制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无P0缺陷，可控开放</w:t>
            </w:r>
          </w:p>
        </w:tc>
      </w:tr>
    </w:tbl>
    <w:p>
      <w:pPr>
        <w:spacing w:after="20"/>
      </w:pPr>
    </w:p>
    <w:p>
      <w:pPr>
        <w:pStyle w:val="Heading2"/>
      </w:pPr>
      <w:r>
        <w:t>14.2 最小团队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产品负责人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1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范围、体验、指标、试点与商业化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全栈工程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1—2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前后端、数据、任务队列和后台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AI/图像工程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0.5—1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模型评估、提示词、模板与质量体系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设计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0.5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交互、视觉、上传和比较体验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发型顾问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兼职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发型库、现实约束和质量评审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法务/隐私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按需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授权、隐私政策和供应商审查</w:t>
            </w:r>
          </w:p>
        </w:tc>
      </w:tr>
    </w:tbl>
    <w:p>
      <w:pPr>
        <w:spacing w:after="20"/>
      </w:pPr>
    </w:p>
    <w:p>
      <w:pPr>
        <w:pStyle w:val="Heading2"/>
      </w:pPr>
      <w:r>
        <w:t>14.3 预算科目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模型API与失败重试成本。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对象存储、带宽、数据库与监控。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域名、短信、支付和内容安全服务。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发型模板制作、测试样本授权及专业顾问。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隐私合规文本与供应商合同审查。</w:t>
      </w:r>
    </w:p>
    <w:p>
      <w:pPr>
        <w:pStyle w:val="Heading1"/>
      </w:pPr>
      <w:r>
        <w:t>15. 风险、对抗审查与停止条件</w:t>
      </w:r>
    </w:p>
    <w:p>
      <w:pPr>
        <w:pStyle w:val="Heading2"/>
      </w:pPr>
      <w:r>
        <w:t>15.1 主要风险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触发信号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结果好看但不可实现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发型师否决率高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强化现实条件、限制模板、人工确认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人物身份漂移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不像本人差评升高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模型切换、局部编辑、自动质检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覆盖过宽导致质量失衡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某类发型失败集中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按分组门禁，临时下架问题模板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生图成本不可控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重试率与单任务成本升高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配额、缓存、分辨率分级、供应商路由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隐私信任不足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上传转化低、删除请求多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短期保存、透明说明、显著删除入口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个人用户低复购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使用一次后流失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以获客和门店线索看待，不虚构高留存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门店不愿改变流程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服务会话使用低</w:t>
            </w:r>
          </w:p>
        </w:tc>
        <w:tc>
          <w:tcPr>
            <w:tcW w:type="dxa" w:w="44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二维码即用、减少录入、绑定经营结果</w:t>
            </w:r>
          </w:p>
        </w:tc>
      </w:tr>
    </w:tbl>
    <w:p>
      <w:pPr>
        <w:spacing w:after="20"/>
      </w:pPr>
    </w:p>
    <w:p>
      <w:pPr>
        <w:pStyle w:val="Heading2"/>
      </w:pPr>
      <w:r>
        <w:t>15.2 对抗式结论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“能生成换发型图”不构成产品壁垒；壁垒来自高质量发型模板、真实反馈、门店工作流和可验证的可信度。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第一版覆盖男女及长短发可执行，但不能同时追求无限发型、全自动诊断、门店CRM和高精度商业化。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没有真实门店资源并不阻止公开Beta，但不能据此证明B端价值。门店版必须在P1单独验证。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如果结果无法保持身份一致或现实可实现性，宁可限制模板，也不能靠免责声明掩盖质量问题。</w:t>
      </w:r>
    </w:p>
    <w:p>
      <w:pPr>
        <w:pStyle w:val="Heading2"/>
      </w:pPr>
      <w:r>
        <w:t>15.3 停止或收缩条件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经过两轮模型与模板优化，身份一致性仍低于3.8/5。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100名有效用户中，愿意尝试任一方案的比例低于35%。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三方案任务成本无法进入合理定价的30%以内。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隐私、供应商条款或人脸处理要求无法满足。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门店试点中，发型师认可率持续低于50%。</w:t>
      </w:r>
    </w:p>
    <w:p>
      <w:r>
        <w:br w:type="page"/>
      </w:r>
    </w:p>
    <w:p>
      <w:pPr>
        <w:pStyle w:val="Heading1"/>
      </w:pPr>
      <w:r>
        <w:t>16. 立项清单与下一步</w:t>
      </w:r>
    </w:p>
    <w:p>
      <w:pPr>
        <w:pStyle w:val="Heading2"/>
      </w:pPr>
      <w:r>
        <w:t>16.1 立即执行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确定产品临时名称、域名和首发地区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筛选2—3个支持参考图编辑的合规模型供应商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制作首批70个标准发型模板及标签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完成核心流程低保真原型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建立120张授权黄金测试集与评分表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确定原图和结果图的保存期限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搭建任务成本台账与事件埋点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招募20名封闭测试用户</w:t>
      </w:r>
    </w:p>
    <w:p>
      <w:pPr>
        <w:pStyle w:val="Heading2"/>
      </w:pPr>
      <w:r>
        <w:t>16.2 上线前必须完成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隐私政策、用户授权、删除与供应商披露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身份一致性、现实可实现性和分组公平性评测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失败重试、额度退回、限流与熔断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后台异常查看、质量反馈和成本监控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严重事故的关闭开关与响应负责人</w:t>
      </w:r>
    </w:p>
    <w:p>
      <w:pPr>
        <w:pStyle w:val="Heading2"/>
      </w:pPr>
      <w:r>
        <w:t>16.3 开发基线决策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已确定基线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复审时点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首发地区与合规口径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中国大陆公开Beta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开发前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模型供应商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双供应商预留，首发单主路由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第2周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游客保存期限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24小时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开发前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登录用户保存期限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30天，可主动删除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开发前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免费额度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一次三方案任务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灰度前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首发定价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由实际成本和测试意愿确定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公开收费前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门店版启动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公开Beta指标达标后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第10—12周评审</w:t>
            </w:r>
          </w:p>
        </w:tc>
      </w:tr>
    </w:tbl>
    <w:p>
      <w:pPr>
        <w:spacing w:after="20"/>
      </w:pP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9792"/>
      </w:tblGrid>
      <w:tr>
        <w:tc>
          <w:tcPr>
            <w:tcW w:type="dxa" w:w="9576"/>
            <w:shd w:fill="EAF3F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2878A5"/>
                <w:sz w:val="20"/>
              </w:rPr>
              <w:t xml:space="preserve">立项决策  </w:t>
            </w:r>
            <w:r>
              <w:rPr>
                <w:rFonts w:ascii="PingFang SC" w:hAnsi="PingFang SC" w:eastAsia="PingFang SC"/>
                <w:b w:val="0"/>
                <w:color w:val="183B56"/>
                <w:sz w:val="20"/>
              </w:rPr>
              <w:t>批准12周MVP；首发覆盖男女及长短发，但将质量控制在约70个标准模板内。公开Beta只验证个人价值与生成质量，门店商业价值另设P1试点门槛。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17. 多轮评审记录与修订结论</w:t>
      </w:r>
    </w:p>
    <w:p>
      <w:pPr>
        <w:pStyle w:val="Heading2"/>
      </w:pPr>
      <w:r>
        <w:t>17.1 第一轮：产品与商业闭环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发现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修订结果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个人版与门店版容易被误做成两套产品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阻断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统一设计任务核心；门店仅增加租户、协作和经营层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首发覆盖过宽，组合数量可能失控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阻断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锁定约70个标准模板，颜色独立参数化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个人用户低复购可能被误判为失败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重要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个人版以有效方案、分享和门店线索衡量，不强求高留存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B端价值没有真实证据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重要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门店版保持P1，必须经3—5家门店单独验证</w:t>
            </w:r>
          </w:p>
        </w:tc>
      </w:tr>
    </w:tbl>
    <w:p>
      <w:pPr>
        <w:spacing w:after="20"/>
      </w:pPr>
    </w:p>
    <w:p>
      <w:pPr>
        <w:pStyle w:val="Heading2"/>
      </w:pPr>
      <w:r>
        <w:t>17.2 第二轮：AI、技术与安全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发现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修订结果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模型供应商未定会阻塞接口实现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阻断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定义供应商无关适配器、固定请求/响应模式和Mock实现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身份一致性只有目标，没有发布门禁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阻断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加入黄金集、分组评分、严重失败率与回归阻断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多租户与媒体访问边界不够明确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阻断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明确资源授权矩阵、短期签名URL和服务端租户校验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删除流程缺少可验证完成条件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重要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定义立即撤销访问、24小时内物理清理和审计事件</w:t>
            </w:r>
          </w:p>
        </w:tc>
      </w:tr>
    </w:tbl>
    <w:p>
      <w:pPr>
        <w:spacing w:after="20"/>
      </w:pPr>
    </w:p>
    <w:p>
      <w:pPr>
        <w:pStyle w:val="Heading2"/>
      </w:pPr>
      <w:r>
        <w:t>17.3 第三轮：工程交付与验收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发现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修订结果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技术栈仍是建议项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阻断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固定首发参考栈与模块边界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验收条目不足以形成测试计划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阻断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新增覆盖矩阵、P0自动化门禁与人工AI评测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缺少Sprint 0交付与开发就绪定义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阻断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新增两周开发启动包、DoR和DoD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开放问题可能在编码时反复改范围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重要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将非阻断问题设为复审点，不进入P0实现</w:t>
            </w:r>
          </w:p>
        </w:tc>
      </w:tr>
    </w:tbl>
    <w:p>
      <w:pPr>
        <w:spacing w:after="20"/>
      </w:pP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9792"/>
      </w:tblGrid>
      <w:tr>
        <w:tc>
          <w:tcPr>
            <w:tcW w:type="dxa" w:w="9576"/>
            <w:shd w:fill="EAF3F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2878A5"/>
                <w:sz w:val="20"/>
              </w:rPr>
              <w:t xml:space="preserve">评审结论  </w:t>
            </w:r>
            <w:r>
              <w:rPr>
                <w:rFonts w:ascii="PingFang SC" w:hAnsi="PingFang SC" w:eastAsia="PingFang SC"/>
                <w:b w:val="0"/>
                <w:color w:val="183B56"/>
                <w:sz w:val="20"/>
              </w:rPr>
              <w:t>所有开发前阻断项已转化为明确基线、接口合同或可执行门禁。方案达到“可进入Sprint 0与核心MVP开发”的标准；商业有效性仍需通过上线实验验证。</w:t>
            </w:r>
          </w:p>
        </w:tc>
      </w:tr>
    </w:tbl>
    <w:p>
      <w:pPr>
        <w:spacing w:after="20"/>
      </w:pPr>
    </w:p>
    <w:p>
      <w:pPr>
        <w:pStyle w:val="Heading1"/>
      </w:pPr>
      <w:r>
        <w:t>18. 开发参考架构与接口合同</w:t>
      </w:r>
    </w:p>
    <w:p>
      <w:pPr>
        <w:pStyle w:val="Heading2"/>
      </w:pPr>
      <w:r>
        <w:t>18.1 固定技术基线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开发基线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约束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前端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Next.js + TypeScript，响应式H5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服务端渲染公开页；业务页客户端交互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服务端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Next.js Server/API或独立TypeScript服务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AI密钥、签名和租户鉴权仅在服务端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数据库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PostgreSQL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所有业务主键使用UUID；时间统一UTC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任务队列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Redis兼容队列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至少一次投递；处理器必须幂等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媒体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S3兼容私有对象存储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浏览器直传；短期签名访问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认证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手机号或邮箱一次性验证码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游客使用匿名会话ID；门店员工必须登录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观测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结构化日志、错误追踪、指标告警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不得记录原图、签名URL和完整个人信息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部署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容器化或托管Node运行时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开发/测试/生产完全隔离</w:t>
            </w:r>
          </w:p>
        </w:tc>
      </w:tr>
    </w:tbl>
    <w:p>
      <w:pPr>
        <w:spacing w:after="20"/>
      </w:pPr>
    </w:p>
    <w:p>
      <w:pPr>
        <w:pStyle w:val="Heading2"/>
      </w:pPr>
      <w:r>
        <w:t>18.2 AI供应商适配器</w:t>
      </w:r>
    </w:p>
    <w:p>
      <w:r>
        <w:rPr>
          <w:rFonts w:ascii="PingFang SC" w:hAnsi="PingFang SC" w:eastAsia="PingFang SC"/>
          <w:b w:val="0"/>
        </w:rPr>
        <w:t>开发不依赖最终供应商。所有模型实现必须满足统一接口：validateImage、generateHairstyle、moderateImage、getCost。适配器输入为私有媒体引用、模板版本、结构化参数和幂等键；输出为任务状态、结果媒体引用、供应商请求ID、耗时、费用和标准错误码。</w:t>
      </w:r>
    </w:p>
    <w:p>
      <w:pPr>
        <w:pStyle w:val="Heading3"/>
      </w:pPr>
      <w:r>
        <w:t>标准错误码</w:t>
      </w:r>
    </w:p>
    <w:p>
      <w:r>
        <w:rPr>
          <w:rFonts w:ascii="PingFang SC" w:hAnsi="PingFang SC" w:eastAsia="PingFang SC"/>
          <w:b w:val="0"/>
        </w:rPr>
        <w:t>INVALID_INPUT、POLICY_BLOCKED、RATE_LIMITED、PROVIDER_TIMEOUT、PROVIDER_ERROR、IDENTITY_RISK、OUTPUT_INVALID、CANCELLED。前端不得直接展示供应商原始错误。</w:t>
      </w:r>
    </w:p>
    <w:p>
      <w:pPr>
        <w:pStyle w:val="Heading3"/>
      </w:pPr>
      <w:r>
        <w:t>幂等与重试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design_task_id + variant_id + attempt作为唯一执行键，同一键不得重复计费。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限流和超时采用指数退避，最多自动重试一次；安全阻断和输入错误不重试。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服务重启后可恢复queued/generating任务，并通过供应商请求ID对账。</w:t>
      </w:r>
    </w:p>
    <w:p>
      <w:pPr>
        <w:pStyle w:val="Heading2"/>
      </w:pPr>
      <w:r>
        <w:t>18.3 核心实体约束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实体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必须字段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关键约束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design_task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id、user_id、tenant_id?、status、consent_id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用户只能读本人；门店员工仅能读本租户且已授权记录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design_variant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task_id、template_version、status、attempt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每任务最多3个首发方案；重试保留历史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media_asset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owner、purpose、storage_key、expires_at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storage_key不可返回前端；删除状态不可逆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consent_record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subject、purpose、policy_version、granted_at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生成前必须存在有效授权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salon_session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tenant_id、customer_id、stylist_id、decision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仅P1启用，严禁跨租户引用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usage_ledger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actor、task、units、cost、reason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额度与供应商费用分账且不可覆盖</w:t>
            </w:r>
          </w:p>
        </w:tc>
      </w:tr>
    </w:tbl>
    <w:p>
      <w:pPr>
        <w:spacing w:after="20"/>
      </w:pPr>
    </w:p>
    <w:p>
      <w:pPr>
        <w:pStyle w:val="Heading2"/>
      </w:pPr>
      <w:r>
        <w:t>18.4 状态机约束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只有draft可进入validating；只有通过质检的任务可进入queued。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completed、failed、deleted为终态；partially_completed只能重试失败variant。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deleted任务的媒体访问立即失效，但审计记录仅保存去标识化ID和时间。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任何非法状态跳转返回409，并写入安全日志。</w:t>
      </w:r>
    </w:p>
    <w:p>
      <w:pPr>
        <w:pStyle w:val="Heading1"/>
      </w:pPr>
      <w:r>
        <w:t>19. 权限、信任边界与运行控制</w:t>
      </w:r>
    </w:p>
    <w:p>
      <w:pPr>
        <w:pStyle w:val="Heading2"/>
      </w:pPr>
      <w:r>
        <w:t>19.1 角色权限矩阵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资源/动作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游客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登录个人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发型师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店长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平台运营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创建个人任务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允许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允许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允许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允许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禁止代建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查看个人任务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当前匿名会话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本人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本人或授权门店会话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授权门店会话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仅脱敏排障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删除个人媒体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当前匿名会话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本人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不可代删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不可代删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按用户请求执行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确认门店方案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不允许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顾客选择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本租户允许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本租户允许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不允许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管理员工/门店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不允许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不允许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不允许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本租户允许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平台级支持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查看成本与异常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不允许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不允许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不允许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本租户汇总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平台全局脱敏</w:t>
            </w:r>
          </w:p>
        </w:tc>
      </w:tr>
    </w:tbl>
    <w:p>
      <w:pPr>
        <w:spacing w:after="20"/>
      </w:pPr>
    </w:p>
    <w:p>
      <w:pPr>
        <w:pStyle w:val="Heading2"/>
      </w:pPr>
      <w:r>
        <w:t>19.2 信任边界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浏览器→业务API：验证会话、CSRF/来源、文件类型、大小和速率。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业务API→对象存储：只签发限定路径、类型、大小和时效的上传/下载凭证。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业务API→任务队列：消息仅含内部ID，不包含公开URL、密钥或完整个人数据。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任务处理器→模型供应商：使用服务端密钥；请求与返回均经审计和模式校验。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门店员工→顾客档案：同时验证角色、tenant_id、顾客授权和资源归属。</w:t>
      </w:r>
    </w:p>
    <w:p>
      <w:pPr>
        <w:pStyle w:val="Heading2"/>
      </w:pPr>
      <w:r>
        <w:t>19.3 运行控制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全局生成功能开关、供应商级熔断、模板级下架和人群分组限制。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按IP、会话、用户和租户四层限流；异常批量生成触发告警。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费用达到日预算80%预警，100%自动停止新任务，管理员手动恢复。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隐私事件、跨租户访问或身份严重漂移集中出现时立即关闭对应路径。</w:t>
      </w:r>
    </w:p>
    <w:p>
      <w:pPr>
        <w:pStyle w:val="Heading1"/>
      </w:pPr>
      <w:r>
        <w:t>20. 测试覆盖与发布门禁</w:t>
      </w:r>
    </w:p>
    <w:p>
      <w:pPr>
        <w:pStyle w:val="Heading2"/>
      </w:pPr>
      <w:r>
        <w:t>20.1 P0自动化测试矩阵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必须覆盖的正向场景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必须覆盖的拒绝/异常场景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授权与上传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授权后获得限定上传地址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无授权、超限文件、伪造类型、多文件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任务状态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合法状态逐步完成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非法跳转、重复回调、重复消费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权限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本人和授权租户读取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跨用户、跨租户、过期匿名会话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媒体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签名访问、主动删除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过期URL、删除后访问、路径猜测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生成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三方案成功、部分成功重试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超时、限流、安全阻断、格式错误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额度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成功扣减、系统失败返还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重复扣费、并发透支、客户端篡改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反馈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关联正确模型和模板版本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越权反馈、无效标签、重复提交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运营后台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脱敏查询和模板下架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运营人员读取原图、越权修改任务</w:t>
            </w:r>
          </w:p>
        </w:tc>
      </w:tr>
    </w:tbl>
    <w:p>
      <w:pPr>
        <w:spacing w:after="20"/>
      </w:pPr>
    </w:p>
    <w:p>
      <w:pPr>
        <w:pStyle w:val="Heading2"/>
      </w:pPr>
      <w:r>
        <w:t>20.2 AI人工评测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360个黄金样本逐项评分；任何严重身份替换、跨样本泄露或不当内容均单独复核。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男女、短中长发各分组均达到发布门槛，不能用总体均值掩盖弱分组。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模型、提示词、模板和后处理版本均写入结果，可复现并可回滚。</w:t>
      </w:r>
    </w:p>
    <w:p>
      <w:pPr>
        <w:pStyle w:val="Heading2"/>
      </w:pPr>
      <w:r>
        <w:t>20.3 性能与可靠性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API非生成请求P95≤800ms；上传签名接口P95≤500ms。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100个并发任务下队列不丢失、不重复扣费，恢复后任务状态一致。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P95完整三方案任务≤180秒；超过阈值时前端给出可恢复状态。</w:t>
      </w:r>
    </w:p>
    <w:p>
      <w:pPr>
        <w:pStyle w:val="Heading2"/>
      </w:pPr>
      <w:r>
        <w:t>20.4 发布阻断条件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任一P0自动化测试失败、存在未关闭的高危权限问题或删除不可验证。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身份一致性&lt;4.0/5、严重失败≥3%或任一覆盖分组明显不达标。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没有成本上限、熔断开关、供应商失败降级或用户退款/返额路径。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隐私政策、用户授权、供应商数据条款未完成审批。</w:t>
      </w:r>
    </w:p>
    <w:p>
      <w:pPr>
        <w:pStyle w:val="Heading1"/>
      </w:pPr>
      <w:r>
        <w:t>21. Sprint 0与开发就绪标准</w:t>
      </w:r>
    </w:p>
    <w:p>
      <w:pPr>
        <w:pStyle w:val="Heading2"/>
      </w:pPr>
      <w:r>
        <w:t>21.1 Sprint 0（第1—2周）交付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3264"/>
        <w:gridCol w:w="3264"/>
        <w:gridCol w:w="3264"/>
      </w:tblGrid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83B56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验收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产品与设计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可点击核心流程、页面状态清单、文案基线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覆盖正常、空、错、加载、删除状态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AI可行性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2—3家供应商对比、30图/90结果小样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选出主候选并验证身份一致性趋势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工程骨架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仓库、环境、数据库迁移、队列、对象存储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开发环境端到端Mock任务完成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安全与隐私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授权记录、媒体生命周期、权限中间件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跨用户/跨租户拒绝测试通过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质量体系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黄金集结构、评分表、版本记录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首批30张授权样本可运行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运维基线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日志、错误、预算、开关和告警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7F9"/>
          </w:tcPr>
          <w:p>
            <w:pPr>
              <w:spacing w:after="0" w:line="259" w:lineRule="auto"/>
            </w:pPr>
            <w:r/>
            <w:r>
              <w:rPr>
                <w:rFonts w:ascii="PingFang SC" w:hAnsi="PingFang SC" w:eastAsia="PingFang SC"/>
                <w:b w:val="0"/>
                <w:sz w:val="17"/>
              </w:rPr>
              <w:t>模拟超时与预算耗尽可安全停止</w:t>
            </w:r>
          </w:p>
        </w:tc>
      </w:tr>
    </w:tbl>
    <w:p>
      <w:pPr>
        <w:spacing w:after="20"/>
      </w:pPr>
    </w:p>
    <w:p>
      <w:pPr>
        <w:pStyle w:val="Heading2"/>
      </w:pPr>
      <w:r>
        <w:t>21.2 Definition of Ready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用户故事包含角色、价值、范围、异常状态与可测试验收标准。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涉及AI的故事明确输入、输出、拒绝、重试、成本和人工评测方式。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涉及数据的故事明确归属、权限、保存、删除和审计。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依赖的设计、接口和数据结构已确定；未决项有负责人和截止时间。</w:t>
      </w:r>
    </w:p>
    <w:p>
      <w:pPr>
        <w:pStyle w:val="Heading2"/>
      </w:pPr>
      <w:r>
        <w:t>21.3 Definition of Done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代码评审通过，静态检查、单元、集成和端到端测试全部通过。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权限拒绝路径、错误恢复、日志和指标与主流程同时完成。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接口、迁移、环境变量和运行手册同步更新。</w:t>
      </w:r>
    </w:p>
    <w:p>
      <w:pPr>
        <w:pStyle w:val="ListBullet"/>
      </w:pPr>
      <w:r>
        <w:rPr>
          <w:rFonts w:ascii="PingFang SC" w:hAnsi="PingFang SC" w:eastAsia="PingFang SC"/>
          <w:b w:val="0"/>
        </w:rPr>
        <w:t>AI变更通过黄金集回归；发布物可回滚且开关可验证。</w:t>
      </w:r>
    </w:p>
    <w:p>
      <w:pPr>
        <w:pStyle w:val="Heading2"/>
      </w:pPr>
      <w:r>
        <w:t>21.4 开发准入结论</w:t>
      </w:r>
    </w:p>
    <w:tbl>
      <w:tblPr>
        <w:tblW w:type="dxa" w:w="9560"/>
        <w:jc w:val="center"/>
        <w:tblLayout w:type="fixed"/>
        <w:tblLook w:firstColumn="1" w:firstRow="1" w:lastColumn="0" w:lastRow="0" w:noHBand="0" w:noVBand="1" w:val="04A0"/>
        <w:tblBorders>
          <w:top w:val="single" w:sz="3" w:color="D8E0E5"/>
          <w:left w:val="single" w:sz="3" w:color="D8E0E5"/>
          <w:bottom w:val="single" w:sz="3" w:color="D8E0E5"/>
          <w:right w:val="single" w:sz="3" w:color="D8E0E5"/>
          <w:insideH w:val="single" w:sz="3" w:color="D8E0E5"/>
          <w:insideV w:val="single" w:sz="3" w:color="D8E0E5"/>
        </w:tblBorders>
      </w:tblPr>
      <w:tblGrid>
        <w:gridCol w:w="9792"/>
      </w:tblGrid>
      <w:tr>
        <w:tc>
          <w:tcPr>
            <w:tcW w:type="dxa" w:w="9576"/>
            <w:shd w:fill="EAF3F7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2878A5"/>
                <w:sz w:val="20"/>
              </w:rPr>
              <w:t xml:space="preserve">GO  </w:t>
            </w:r>
            <w:r>
              <w:rPr>
                <w:rFonts w:ascii="PingFang SC" w:hAnsi="PingFang SC" w:eastAsia="PingFang SC"/>
                <w:b w:val="0"/>
                <w:color w:val="183B56"/>
                <w:sz w:val="20"/>
              </w:rPr>
              <w:t>方案可进入实际开发。准入范围为Sprint 0及P0公开体验MVP；P1门店版和正式收费不得提前并入P0。最终模型供应商与价格不是编码阻断项，但必须在Sprint 0结束前完成选择。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b w:val="0"/>
        <w:color w:val="5C6873"/>
        <w:sz w:val="16"/>
      </w:rPr>
      <w:t>内部项目文件｜2026年7月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SC" w:hAnsi="PingFang SC" w:eastAsia="PingFang SC"/>
        <w:b w:val="0"/>
        <w:color w:val="5C6873"/>
        <w:sz w:val="16"/>
      </w:rPr>
      <w:t>AI发型设计平台｜项目方案 V1.1 开发就绪版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5" w:lineRule="auto"/>
    </w:pPr>
    <w:rPr>
      <w:rFonts w:ascii="PingFang SC" w:hAnsi="PingFang SC" w:eastAsia="PingFang SC"/>
      <w:color w:val="2028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83B5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878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2A9D8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183B56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PingFang SC" w:hAnsi="PingFang SC" w:eastAsia="PingFang SC"/>
      <w:b w:val="0"/>
      <w:i/>
      <w:iCs/>
      <w:color w:val="5C68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03" w:hanging="230"/>
      <w:contextualSpacing/>
    </w:pPr>
    <w:rPr>
      <w:rFonts w:ascii="PingFang SC" w:hAnsi="PingFang SC" w:eastAsia="PingFang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3" w:hanging="230"/>
      <w:contextualSpacing/>
    </w:pPr>
    <w:rPr>
      <w:rFonts w:ascii="PingFang SC" w:hAnsi="PingFang SC" w:eastAsia="PingFang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AI发型设计平台完整项目方案</dc:title>
  <dc:subject>产品、AI、技术、商业化与实施方案</dc:subject>
  <dc:creator>臻一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