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w:t>
      </w: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w:t>
      </w:r>
      <w:r>
        <w:t>调整前，基金管理人需履行适当程序并及时公告。</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w:r>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r>
        <w:t/>
      </w:r>
      <w:r>
        <w:rPr>
          <w:rFonts w:ascii="Times New Roman" w:eastAsia="Times New Roman" w:hAnsi="Times New Roman" w:cs="Times New Roman"/>
        </w:rPr>
        <w:t xml:space="preserve"> </w:t>
      </w:r>
    </w:p>
    <w:p w14:paraId="4470CB74" w14:textId="77777777" w:rsidR="00591C44" w:rsidRDefault="00095C8D">
      <w:pPr>
        <w:ind w:right="8"/>
      </w:pPr>
      <w:r>
        <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本基金同一类别的每一基金份额享有同等分配权。由于本基金A类基金份额和C类基金份额费用收取不同，各基金份额类别对应的可分配收益将有所不同；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w:r>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r>
        <w:t/>
      </w:r>
      <w:r>
        <w:rPr>
          <w:rFonts w:ascii="Times New Roman" w:eastAsia="Times New Roman" w:hAnsi="Times New Roman" w:cs="Times New Roman"/>
        </w:rPr>
        <w:t xml:space="preserve"> </w:t>
      </w:r>
    </w:p>
    <w:p w14:paraId="67899A84" w14:textId="77777777" w:rsidR="00591C44" w:rsidRDefault="00095C8D">
      <w:pPr>
        <w:ind w:right="8"/>
      </w:pPr>
      <w:r>
        <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