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r>
        <w:t>调低销售服务费率</w:t>
      </w:r>
      <w:r>
        <w:t>或变更收费方式、或者停止现有基金份额类别的销售等，调整前基金管理人需及时公告</w:t>
      </w:r>
      <w:r>
        <w:t/>
      </w:r>
      <w:r>
        <w:t>。</w:t>
      </w:r>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r>
        <w:t>通过直销机构申购本基金A类基金份额不收取申购费，通过其他销售机构申购本基金A类基金份额的申购费用由投资人承担，不列入基金财产。本基金C类基金份额不收取申购费用。</w:t>
      </w:r>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r>
        <w:t>赎回费用由赎回基金份额的基金份额持有人承担，在基金份额持有人赎回基金份额时收取。赎回费用全额计入基金财产。</w:t>
      </w:r>
    </w:p>
    <w:p w14:paraId="5A439A59" w14:textId="77777777" w:rsidR="00A01A4E" w:rsidRDefault="00C56536">
      <w:r>
        <w:rPr>
          <w:rFonts w:ascii="Times New Roman" w:eastAsia="Times New Roman" w:hAnsi="Times New Roman" w:cs="Times New Roman"/>
        </w:rPr>
        <w:t xml:space="preserve">7 </w:t>
      </w:r>
      <w:r>
        <w:t>日的</w:t>
      </w:r>
      <w:r>
        <w:t>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t>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29A41E74" w14:textId="77777777" w:rsidR="00A01A4E" w:rsidRDefault="00C56536">
      <w:pPr>
        <w:spacing w:after="18" w:line="365" w:lineRule="auto"/>
        <w:ind w:left="0" w:firstLine="480"/>
      </w:pPr>
      <w:r>
        <w:t/>
      </w:r>
      <w:r>
        <w:rPr>
          <w:rFonts w:ascii="Times New Roman" w:eastAsia="Times New Roman" w:hAnsi="Times New Roman" w:cs="Times New Roman"/>
        </w:rPr>
        <w:t xml:space="preserve"> </w:t>
      </w:r>
    </w:p>
    <w:p w14:paraId="183115B2" w14:textId="77777777" w:rsidR="00A01A4E" w:rsidRDefault="00C56536">
      <w:pPr>
        <w:ind w:left="477"/>
      </w:pPr>
      <w:r>
        <w:t xml:space="preserve"> </w:t>
      </w:r>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r>
        <w:t>由于本基金A类基金份额和C类基金份额费用收取不同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r>
        <w:t>由于本基金A类基金份额和C类基金份额费用收取不同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r>
        <w:t/>
      </w:r>
      <w:r>
        <w:rPr>
          <w:rFonts w:ascii="Times New Roman" w:eastAsia="Times New Roman" w:hAnsi="Times New Roman" w:cs="Times New Roman"/>
        </w:rPr>
        <w:t xml:space="preserve"> </w:t>
      </w:r>
    </w:p>
    <w:p w14:paraId="349AB4E1" w14:textId="77777777" w:rsidR="00A01A4E" w:rsidRDefault="00C56536">
      <w:pPr>
        <w:spacing w:after="18" w:line="365" w:lineRule="auto"/>
        <w:ind w:left="0" w:firstLine="480"/>
      </w:pPr>
      <w:r>
        <w:t xml:space="preserve"> </w:t>
      </w:r>
      <w:r>
        <w:rPr>
          <w:rFonts w:ascii="Times New Roman" w:eastAsia="Times New Roman" w:hAnsi="Times New Roman" w:cs="Times New Roman"/>
        </w:rPr>
        <w:t xml:space="preserve"> </w:t>
      </w:r>
    </w:p>
    <w:p w14:paraId="2E19FA4D" w14:textId="77777777" w:rsidR="00A01A4E" w:rsidRDefault="00C56536">
      <w:pPr>
        <w:ind w:left="477"/>
      </w:pPr>
      <w:r>
        <w:t xml:space="preserve"> </w:t>
      </w:r>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