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r>
        <w:t xml:space="preserve">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履行适当程序并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r>
        <w:t>赎回金额为按实际确认的有效赎回份额乘以当日该类基金份额的基金份额净值并扣除或加上相应的费用，赎回金额单位为元。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r>
        <w:t>通过直销机构申购本基金A类基金份额不收取申购费，通过其他销售机构申购本基金A类基金份额的申购费用由投资人承担，不列入基金财产。本基金C类基金份额不收取申购费用。</w:t>
      </w:r>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r>
        <w:t/>
      </w:r>
      <w:r>
        <w:rPr>
          <w:rFonts w:ascii="Times New Roman" w:eastAsia="Times New Roman" w:hAnsi="Times New Roman" w:cs="Times New Roman"/>
        </w:rPr>
        <w:t xml:space="preserve"> </w:t>
      </w:r>
    </w:p>
    <w:p w14:paraId="7ECE1E64" w14:textId="77777777" w:rsidR="00591C44" w:rsidRDefault="00095C8D">
      <w:pPr>
        <w:spacing w:after="17" w:line="366" w:lineRule="auto"/>
        <w:ind w:left="-15" w:right="8" w:firstLine="480"/>
      </w:pPr>
      <w:r>
        <w:t/>
      </w:r>
      <w:r>
        <w:rPr>
          <w:rFonts w:ascii="Times New Roman" w:eastAsia="Times New Roman" w:hAnsi="Times New Roman" w:cs="Times New Roman"/>
        </w:rPr>
        <w:t xml:space="preserve"> </w:t>
      </w:r>
    </w:p>
    <w:p w14:paraId="4470CB74" w14:textId="77777777" w:rsidR="00591C44" w:rsidRDefault="00095C8D">
      <w:pPr>
        <w:ind w:right="8"/>
      </w:pPr>
      <w:r>
        <w:t/>
      </w:r>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r>
        <w:t>本基金同一类别的每一基金份额享有同等分配权。</w:t>
      </w:r>
      <w:r>
        <w:t>由于本基金A类基金份额和C类基金份额费用收取不同</w:t>
      </w:r>
      <w:r>
        <w:t>，各基金份额类别对应的可分配收益将有所不同；</w:t>
      </w:r>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r>
        <w:t/>
      </w:r>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r>
        <w:t/>
      </w:r>
      <w:r>
        <w:rPr>
          <w:rFonts w:ascii="Times New Roman" w:eastAsia="Times New Roman" w:hAnsi="Times New Roman" w:cs="Times New Roman"/>
        </w:rPr>
        <w:t xml:space="preserve"> </w:t>
      </w:r>
    </w:p>
    <w:p w14:paraId="67899A84" w14:textId="77777777" w:rsidR="00591C44" w:rsidRDefault="00095C8D">
      <w:pPr>
        <w:ind w:right="8"/>
      </w:pPr>
      <w:r>
        <w:t/>
      </w:r>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