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w:t>
      </w:r>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r>
        <w:t>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t>调低销售服务费率</w:t>
      </w:r>
      <w:r>
        <w:t>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w:t>
      </w:r>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r>
        <w:t xml:space="preserve">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 2 位，由此产生的收益或损失由基金财产承担。 4、通过直销机构申购本基金A类、D类基金份额不收取申购费，通过其他销售机构申购本基金A类、D类基金份额的申购费用由投资人承担，不列入基金财产。本基金C类基金份额不收取申购费用。 </w:t>
      </w:r>
    </w:p>
    <w:p w14:paraId="60FDA6E1" w14:textId="77777777" w:rsidR="00865249" w:rsidRDefault="00AD7DA4">
      <w:pPr>
        <w:numPr>
          <w:ilvl w:val="0"/>
          <w:numId w:val="19"/>
        </w:numPr>
        <w:spacing w:after="4" w:line="373" w:lineRule="auto"/>
        <w:ind w:right="9"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r>
        <w:rPr>
          <w:rFonts w:ascii="Times New Roman" w:eastAsia="Times New Roman" w:hAnsi="Times New Roman" w:cs="Times New Roman"/>
        </w:rPr>
        <w:t/>
      </w:r>
      <w:r>
        <w:rPr>
          <w:rFonts w:ascii="Times New Roman" w:eastAsia="Times New Roman" w:hAnsi="Times New Roman" w:cs="Times New Roman"/>
        </w:rPr>
        <w:t xml:space="preserve"> </w:t>
      </w:r>
    </w:p>
    <w:p w14:paraId="7AB4D4BD" w14:textId="77777777" w:rsidR="00865249" w:rsidRDefault="00AD7DA4">
      <w:pPr>
        <w:spacing w:after="12" w:line="365" w:lineRule="auto"/>
        <w:ind w:left="-15" w:right="9" w:firstLine="480"/>
      </w:pPr>
      <w:r>
        <w:t/>
      </w:r>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r>
        <w:t>由于本基金A类、D类基金份额和C类基金份额费用收取不同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w:t>
      </w:r>
      <w:r>
        <w:t>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r>
        <w:t/>
      </w:r>
    </w:p>
    <w:p w14:paraId="192C8601" w14:textId="77777777" w:rsidR="00865249" w:rsidRDefault="00AD7DA4">
      <w:pPr>
        <w:spacing w:after="6" w:line="370" w:lineRule="auto"/>
        <w:ind w:left="-15" w:right="388" w:firstLine="470"/>
        <w:jc w:val="both"/>
      </w:pPr>
      <w:r>
        <w:t/>
      </w:r>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