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5A439A59" w14:textId="77777777" w:rsidR="00A01A4E" w:rsidRDefault="00C56536">
      <w:r>
        <w:rPr>
          <w:rFonts w:ascii="Times New Roman" w:eastAsia="Times New Roman" w:hAnsi="Times New Roman" w:cs="Times New Roman"/>
        </w:rPr>
        <w:t xml:space="preserve">7 </w:t>
      </w:r>
      <w:r>
        <w:t>日的</w:t>
      </w:r>
      <w:r>
        <w:t>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r>
        <w:t/>
      </w:r>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83115B2"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r>
        <w:t>由于本基金A类基金份额和C类基金份额费用收取不同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r>
        <w:t/>
      </w:r>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r>
        <w:t xml:space="preserve"> </w:t>
      </w:r>
      <w:r>
        <w:rPr>
          <w:rFonts w:ascii="Times New Roman" w:eastAsia="Times New Roman" w:hAnsi="Times New Roman" w:cs="Times New Roman"/>
        </w:rPr>
        <w:t xml:space="preserve"> </w:t>
      </w:r>
    </w:p>
    <w:p w14:paraId="2E19FA4D" w14:textId="77777777" w:rsidR="00A01A4E" w:rsidRDefault="00C56536">
      <w:pPr>
        <w:ind w:left="477"/>
      </w:pPr>
      <w:r>
        <w:t xml:space="preserve"> </w:t>
      </w:r>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