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del w:id="7" w:author="FundLex" w:date="2026-10-21T15:27:46Z">
        <w:r>
          <w:delText/>
        </w:r>
      </w:del>
      <w:ins w:id="8" w:author="FundLex" w:date="2026-10-21T15:27:46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1" w:author="FundLex" w:date="2026-10-21T15:27:46Z">
        <w:r>
          <w:delText>本基金的申购费率由基金管理人决定，并在招募说明书中列示。</w:delText>
        </w:r>
      </w:del>
      <w:ins w:id="12" w:author="FundLex" w:date="2026-10-21T15:27:46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3" w:author="FundLex" w:date="2026-10-21T15:27:46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4" w:author="FundLex" w:date="2026-10-21T15:27:46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5" w:author="FundLex" w:date="2026-10-21T15:27:46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r>
          <w:rPr>
            <w:rFonts w:ascii="Times New Roman" w:eastAsia="Times New Roman" w:hAnsi="Times New Roman" w:cs="Times New Roman"/>
          </w:rPr>
          <w:delText xml:space="preserve"> </w:delText>
        </w:r>
      </w:del>
      <w:ins w:id="16" w:author="FundLex" w:date="2026-10-21T15:27:46Z">
        <w:r>
          <w:t xml:space="preserve">赎回费用由赎回基金份额的基金份额持有人承担，在基金份额持有人赎回基金份额时收取。赎回费用全额计入基金财产。 </w:t>
        </w:r>
      </w:ins>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7" w:author="FundLex" w:date="2026-10-21T15:27:46Z">
        <w:r>
          <w:delText>基金管理人可以适当调低基金申购费率和基金赎回费率。</w:delText>
        </w:r>
      </w:del>
      <w:ins w:id="18" w:author="FundLex" w:date="2026-10-21T15:27:46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19" w:author="FundLex" w:date="2026-10-21T15:27:46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del>
      <w:ins w:id="20" w:author="FundLex" w:date="2026-10-21T15:27:46Z">
        <w:r>
          <w:rPr>
            <w:rFonts w:ascii="Times New Roman" w:eastAsia="Times New Roman" w:hAnsi="Times New Roman" w:cs="Times New Roman"/>
          </w:rPr>
          <w:t/>
        </w:r>
      </w:ins>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del w:id="21" w:author="FundLex" w:date="2026-10-21T15:27:46Z">
        <w:r>
          <w:delText>销售服务费主要用于支付销售机构佣金、以及基金管理人的基金行销广告费、促销活动费、持有人服务费等。销售服务费不包括基金募集期间的上述费用。</w:delText>
        </w:r>
      </w:del>
      <w:ins w:id="22" w:author="FundLex" w:date="2026-10-21T15:27:46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3" w:author="FundLex" w:date="2026-10-21T15:27:46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类基金份额收取销售服务费，各基金份额类别对应的可分配收益将有所不同。</w:delText>
        </w:r>
      </w:del>
      <w:ins w:id="24" w:author="FundLex" w:date="2026-10-21T15:27:46Z">
        <w:r>
          <w:t>由于本基金A类、D类基金份额和C类基金份额费用收取不同，各基金份额类别对应的可分配收益将有所不同。</w:t>
        </w:r>
      </w:ins>
      <w:r>
        <w:t>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5" w:author="FundLex" w:date="2026-10-21T15:27:46Z">
        <w:r>
          <w:delText>依据基金财产清算的分配方案，将基金财产清算后的全部剩余资产扣除基金财产清算费用、交纳所欠税款并清偿基金债务后，按基金份额持有人持有的基金份额比例进行分配。</w:delText>
        </w:r>
      </w:del>
      <w:ins w:id="26" w:author="FundLex" w:date="2026-10-21T15:27:4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del w:id="1" w:author="FundLex" w:date="2026-10-21T15:27:46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w:delText>
        </w:r>
        <w:r>
          <w:delText>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 w:author="FundLex" w:date="2026-10-21T15:27:46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3" w:author="FundLex" w:date="2026-10-21T15:27:46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del>
      <w:ins w:id="4" w:author="FundLex" w:date="2026-10-21T15:27:46Z">
        <w:r>
          <w:t/>
        </w:r>
      </w:ins>
      <w:r>
        <w:t xml:space="preserve"> </w:t>
      </w:r>
    </w:p>
    <w:p w14:paraId="192C8601" w14:textId="77777777" w:rsidR="00865249" w:rsidRDefault="00AD7DA4">
      <w:pPr>
        <w:spacing w:after="6" w:line="370" w:lineRule="auto"/>
        <w:ind w:left="-15" w:right="388" w:firstLine="470"/>
        <w:jc w:val="both"/>
      </w:pPr>
      <w:del w:id="5" w:author="FundLex" w:date="2026-10-21T15:27:46Z">
        <w:r>
          <w:delText>销售服务费主要用于支付销售机构佣金、以及基金管理人的基金行销广告费、促销活动费、持有人服务费等。销售服务费不包括基金募集期间的上述费用。</w:delText>
        </w:r>
      </w:del>
      <w:ins w:id="6" w:author="FundLex" w:date="2026-10-21T15:27:46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9" w:author="FundLex" w:date="2026-10-21T15:27:46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0" w:author="FundLex" w:date="2026-10-21T15:27:4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