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赎回费用由赎回基金份额的基金份额持有人承担，在基金份额持有人赎回基金份额时收取。赎回费用全额计入基金财产。</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
      </w:r>
      <w:r>
        <w:rPr>
          <w:rFonts w:ascii="Times New Roman" w:eastAsia="Times New Roman" w:hAnsi="Times New Roman" w:cs="Times New Roman"/>
        </w:rPr>
        <w:t xml:space="preserve"> </w:t>
      </w:r>
    </w:p>
    <w:p w14:paraId="183115B2" w14:textId="77777777" w:rsidR="00A01A4E" w:rsidRDefault="00C56536">
      <w:pPr>
        <w:ind w:left="477"/>
      </w:pPr>
      <w:r>
        <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 xml:space="preserve"> </w:t>
      </w:r>
      <w:r>
        <w:rPr>
          <w:rFonts w:ascii="Times New Roman" w:eastAsia="Times New Roman" w:hAnsi="Times New Roman" w:cs="Times New Roman"/>
        </w:rPr>
        <w:t xml:space="preserve"> </w:t>
      </w:r>
    </w:p>
    <w:p w14:paraId="2E19FA4D" w14:textId="77777777" w:rsidR="00A01A4E" w:rsidRDefault="00C56536">
      <w:pPr>
        <w:ind w:left="477"/>
      </w:pPr>
      <w:r>
        <w:t xml:space="preserve"> </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