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 xml:space="preserve">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履行适当程序并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r>
        <w:t xml:space="preserve">通过直销机构申购本基金A类基金份额不收取申购费，通过其他销售机构申购本基金A类基金份额的通过直销机构申购本基金A类基金份额不收取申购费，通过其他销售机构申购本基金A类基金份额的申购费用由投资人承担，不列入基金财产。本基金C类基金份额不收取申购费用。本基金C类基金份额不收取申购费用。 </w:t>
      </w:r>
    </w:p>
    <w:p w14:paraId="2F2B7E36" w14:textId="77777777" w:rsidR="00591C44" w:rsidRDefault="00095C8D">
      <w:pPr>
        <w:numPr>
          <w:ilvl w:val="0"/>
          <w:numId w:val="19"/>
        </w:numPr>
        <w:spacing w:after="5" w:line="370" w:lineRule="auto"/>
        <w:ind w:right="8"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7ECE1E64" w14:textId="77777777" w:rsidR="00591C44" w:rsidRDefault="00095C8D">
      <w:pPr>
        <w:spacing w:after="17" w:line="366"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4470CB74" w14:textId="77777777" w:rsidR="00591C44" w:rsidRDefault="00095C8D">
      <w:pPr>
        <w:ind w:right="8"/>
      </w:pPr>
      <w:r>
        <w:t>销售服务费使用范围不包括基金募集期间的上述费用。</w:t>
      </w:r>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r>
        <w:t>由于本基金A类基金份额和C类基金份额费用收取不同</w:t>
      </w:r>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本基金同一类别的每一基金份额享有同等分配权。由于本基金A类基金份额和C类基金份额费用收取不同，各基金份额类别对应的可分配收益将有所不同；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63C71550" w14:textId="77777777" w:rsidR="00591C44" w:rsidRDefault="00095C8D">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67899A84" w14:textId="77777777" w:rsidR="00591C44" w:rsidRDefault="00095C8D">
      <w:pPr>
        <w:ind w:right="8"/>
      </w:pPr>
      <w:r>
        <w:t>销售服务费使用范围不包括基金募集期间的上述费用。</w:t>
      </w:r>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t>配。</w:t>
      </w:r>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