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申购份额的计算及余额的处理方式：本基金申购份额的计算详见《招募说明书》。本基金的申购费率由基金管理人决定，并在招</w:t>
      </w:r>
      <w:r>
        <w:t>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83115B2"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w:t>
      </w:r>
      <w:r>
        <w:t>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19FA4D" w14:textId="77777777" w:rsidR="00A01A4E" w:rsidRDefault="00C56536">
      <w:pPr>
        <w:ind w:left="477"/>
      </w:pPr>
      <w:r>
        <w:t>销售服务费使用范围不包括基金募集期间的上述费用。</w:t>
      </w:r>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