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 xml:space="preserve">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履行适当程序并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r>
        <w:t/>
      </w:r>
      <w:r>
        <w:rPr>
          <w:rFonts w:ascii="Times New Roman" w:eastAsia="Times New Roman" w:hAnsi="Times New Roman" w:cs="Times New Roman"/>
        </w:rPr>
        <w:t xml:space="preserve"> </w:t>
      </w:r>
    </w:p>
    <w:p w14:paraId="7ECE1E64" w14:textId="77777777" w:rsidR="00591C44" w:rsidRDefault="00095C8D">
      <w:pPr>
        <w:spacing w:after="17" w:line="366" w:lineRule="auto"/>
        <w:ind w:left="-15" w:right="8" w:firstLine="480"/>
      </w:pPr>
      <w:r>
        <w:t/>
      </w:r>
      <w:r>
        <w:rPr>
          <w:rFonts w:ascii="Times New Roman" w:eastAsia="Times New Roman" w:hAnsi="Times New Roman" w:cs="Times New Roman"/>
        </w:rPr>
        <w:t xml:space="preserve"> </w:t>
      </w:r>
    </w:p>
    <w:p w14:paraId="4470CB74" w14:textId="77777777" w:rsidR="00591C44" w:rsidRDefault="00095C8D">
      <w:pPr>
        <w:ind w:right="8"/>
      </w:pPr>
      <w:r>
        <w:t/>
      </w:r>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本基金同一类别的每一基金份额享有同等分配权。由于本基金A类基金份额和C类基金份额费用收取不同，各基金份额类别对应的可分配收益将有所不同；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r>
        <w:t/>
      </w:r>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r>
        <w:t/>
      </w:r>
      <w:r>
        <w:rPr>
          <w:rFonts w:ascii="Times New Roman" w:eastAsia="Times New Roman" w:hAnsi="Times New Roman" w:cs="Times New Roman"/>
        </w:rPr>
        <w:t xml:space="preserve"> </w:t>
      </w:r>
    </w:p>
    <w:p w14:paraId="67899A84" w14:textId="77777777" w:rsidR="00591C44" w:rsidRDefault="00095C8D">
      <w:pPr>
        <w:ind w:right="8"/>
      </w:pPr>
      <w:r>
        <w:t/>
      </w:r>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