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t>调低销售服务费率</w:t>
      </w:r>
      <w:r>
        <w:t>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r>
        <w:t xml:space="preserve">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 2 位，由此产生的收益或损失由基金财产承担。 4、通过直销机构申购本基金A类、D类基金份额不收取申购费，通过其他销售机构申购本基金A类、D类基金份额的申购费用由投资人承担，不列入基金财产。本基金C类基金份额不收取申购费用。 </w:t>
      </w:r>
    </w:p>
    <w:p w14:paraId="60FDA6E1" w14:textId="77777777" w:rsidR="00865249" w:rsidRDefault="00AD7DA4">
      <w:pPr>
        <w:numPr>
          <w:ilvl w:val="0"/>
          <w:numId w:val="19"/>
        </w:numPr>
        <w:spacing w:after="4" w:line="373" w:lineRule="auto"/>
        <w:ind w:right="9" w:firstLine="480"/>
      </w:pPr>
      <w:r>
        <w:t xml:space="preserve">赎回费用由赎回基金份额的基金份额持有人承担，在基金份额持有人赎回基金份额时收取。赎回费用全额计入基金财产。 </w:t>
      </w:r>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r>
        <w:rPr>
          <w:rFonts w:ascii="Times New Roman" w:eastAsia="Times New Roman" w:hAnsi="Times New Roman" w:cs="Times New Roman"/>
        </w:rPr>
        <w:t/>
      </w:r>
      <w:r>
        <w:rPr>
          <w:rFonts w:ascii="Times New Roman" w:eastAsia="Times New Roman" w:hAnsi="Times New Roman" w:cs="Times New Roman"/>
        </w:rPr>
        <w:t xml:space="preserve"> </w:t>
      </w:r>
    </w:p>
    <w:p w14:paraId="7AB4D4BD" w14:textId="77777777" w:rsidR="00865249" w:rsidRDefault="00AD7DA4">
      <w:pPr>
        <w:spacing w:after="12" w:line="365" w:lineRule="auto"/>
        <w:ind w:left="-15" w:right="9" w:firstLine="480"/>
      </w:pPr>
      <w:r>
        <w:t/>
      </w:r>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r>
        <w:t/>
      </w:r>
      <w:r>
        <w:t xml:space="preserve"> </w:t>
      </w:r>
    </w:p>
    <w:p w14:paraId="192C8601" w14:textId="77777777" w:rsidR="00865249" w:rsidRDefault="00AD7DA4">
      <w:pPr>
        <w:spacing w:after="6" w:line="370" w:lineRule="auto"/>
        <w:ind w:left="-15" w:right="388" w:firstLine="470"/>
        <w:jc w:val="both"/>
      </w:pPr>
      <w:r>
        <w:t/>
      </w:r>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