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7ECE1E64" w14:textId="77777777" w:rsidR="00591C44" w:rsidRDefault="00095C8D">
      <w:pPr>
        <w:spacing w:after="17" w:line="366" w:lineRule="auto"/>
        <w:ind w:left="-15" w:right="8" w:firstLine="480"/>
      </w:pPr>
      <w:r>
        <w:t/>
      </w:r>
      <w:r>
        <w:rPr>
          <w:rFonts w:ascii="Times New Roman" w:eastAsia="Times New Roman" w:hAnsi="Times New Roman" w:cs="Times New Roman"/>
        </w:rPr>
        <w:t xml:space="preserve"> </w:t>
      </w:r>
    </w:p>
    <w:p w14:paraId="4470CB74" w14:textId="77777777" w:rsidR="00591C44" w:rsidRDefault="00095C8D">
      <w:pPr>
        <w:ind w:right="8"/>
      </w:pPr>
      <w:r>
        <w:t xml:space="preserve"> </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本基金同一类别的每一基金份额享有同等分配权。由于本基金A类基金份额和C类基金份额费用收取不同，各基金份额类别对应的可分配收益将有所不同；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63C71550" w14:textId="77777777" w:rsidR="00591C44" w:rsidRDefault="00095C8D">
      <w:pPr>
        <w:spacing w:after="18" w:line="365" w:lineRule="auto"/>
        <w:ind w:left="-15" w:right="8" w:firstLine="480"/>
      </w:pPr>
      <w:r>
        <w:t/>
      </w:r>
      <w:r>
        <w:rPr>
          <w:rFonts w:ascii="Times New Roman" w:eastAsia="Times New Roman" w:hAnsi="Times New Roman" w:cs="Times New Roman"/>
        </w:rPr>
        <w:t xml:space="preserve"> </w:t>
      </w:r>
    </w:p>
    <w:p w14:paraId="67899A84" w14:textId="77777777" w:rsidR="00591C44" w:rsidRDefault="00095C8D">
      <w:pPr>
        <w:ind w:right="8"/>
      </w:pPr>
      <w:r>
        <w:t xml:space="preserve"> </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