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本基金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r>
        <w:t>赎回金额的计算及处理方式：本基金赎回金额的计算详见《招募说明书》，赎回金额单位为元。本基金的赎回费率由基金管理人决定，并在招募说明书中列示。赎回金额为按实</w:t>
      </w:r>
      <w:r>
        <w:t>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4</w:t>
      </w:r>
      <w:r>
        <w:t>、申购费用由投资人承担，不列入基金财产。</w:t>
      </w:r>
      <w:r>
        <w:rPr>
          <w:rFonts w:ascii="Times New Roman" w:eastAsia="Times New Roman" w:hAnsi="Times New Roman" w:cs="Times New Roman"/>
        </w:rPr>
        <w:t xml:space="preserve"> </w:t>
      </w:r>
    </w:p>
    <w:p w14:paraId="60FDA6E1" w14:textId="77777777" w:rsidR="00865249" w:rsidRDefault="00AD7DA4">
      <w:pPr>
        <w:numPr>
          <w:ilvl w:val="0"/>
          <w:numId w:val="19"/>
        </w:numPr>
        <w:spacing w:after="4" w:line="373" w:lineRule="auto"/>
        <w:ind w:right="9" w:firstLine="480"/>
      </w:pPr>
      <w:r>
        <w:t>赎回费用由赎回基金份额的基金份额持有人承担，在基金份额持有人赎回基金份额时收取。赎回费用归入基金财产的比例应根据相关规定执行，并在招募说明书中列示。本基金对持续持有期少于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r>
        <w:rPr>
          <w:rFonts w:ascii="Times New Roman" w:eastAsia="Times New Roman" w:hAnsi="Times New Roman" w:cs="Times New Roman"/>
        </w:rPr>
        <w:t xml:space="preserve">C </w:t>
      </w:r>
      <w:r>
        <w:t>类基金份额的销售服务费每日计提，逐日累计至每个月月末，按月支付。经基金管理人与基金托管人核对一致后，由基金托管人在次月初五个工作日内从</w:t>
      </w:r>
      <w:r>
        <w:t>基金财产中一次性支付，由注册登记机构代收，注册登记机构收到后按相关合同规定支付给基金销售机构等。</w:t>
      </w:r>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r>
        <w:t>销售服务费主要用于支付销售机构佣金、以及基金管理人的基金行销广告费、促销活动费、持有人服务费等。销售服务费不包括基金募集期间的上述费用。</w:t>
      </w:r>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w:t>
      </w:r>
      <w:r>
        <w:t>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r>
        <w:t>C</w:t>
      </w:r>
      <w:r>
        <w:t>类基金份额的销售服务费每日计提，逐日累计至每个月月末，按月支付。经基金管理人与基金托管人核对一致后，由基金托管人在次月初五个工作日内从基金财产中一次性支付，由注册登记机构代收，注册登记机构收到后按相关合同规定支付给基金销售机构等。</w:t>
      </w:r>
      <w:r>
        <w:t xml:space="preserve"> </w:t>
      </w:r>
    </w:p>
    <w:p w14:paraId="192C8601" w14:textId="77777777" w:rsidR="00865249" w:rsidRDefault="00AD7DA4">
      <w:pPr>
        <w:spacing w:after="6" w:line="370" w:lineRule="auto"/>
        <w:ind w:left="-15" w:right="388" w:firstLine="470"/>
        <w:jc w:val="both"/>
      </w:pPr>
      <w:r>
        <w:t>销售服务费主要用于支付销售机构佣金、以及基金管理人的基金行销广告费、促销活动费、持有人服务费等。销售服务费不包括基金募集期间的上述费用。</w:t>
      </w:r>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r>
        <w:t>依据基金财产清算的分配方案，将基金财产清算后的全部</w:t>
      </w:r>
      <w:r>
        <w:t>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