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del w:id="25" w:author="FundLex" w:date="2026-10-22T02:50:08Z">
        <w:r>
          <w:delText/>
        </w:r>
      </w:del>
      <w:ins w:id="26" w:author="FundLex" w:date="2026-10-22T02:50:0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w:t>
      </w:r>
      <w:del w:id="5" w:author="FundLex" w:date="2026-10-22T02:50:08Z">
        <w:r>
          <w:delText/>
        </w:r>
      </w:del>
      <w:ins w:id="6" w:author="FundLex" w:date="2026-10-22T02:50:08Z">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t>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7" w:author="FundLex" w:date="2026-10-22T02:50:08Z">
        <w:r>
          <w:delText>调低赎回费率</w:delText>
        </w:r>
      </w:del>
      <w:ins w:id="8" w:author="FundLex" w:date="2026-10-22T02:50:08Z">
        <w:r>
          <w:t>调低销售服务费率</w:t>
        </w:r>
      </w:ins>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del w:id="11" w:author="FundLex" w:date="2026-10-22T02:50:08Z">
        <w:r>
          <w:delText>本基金的申购费率由基金管理人决定，并在招募说明书中列示。</w:delText>
        </w:r>
      </w:del>
      <w:ins w:id="12" w:author="FundLex" w:date="2026-10-22T02:50:08Z">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ins>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del w:id="13" w:author="FundLex" w:date="2026-10-22T02:50:08Z">
        <w:r>
          <w:delText>赎回金额的计算及处理方式：本基金赎回金额的计算详见《招募说明书》，赎回金额单位为元。本基金的赎回费率由基金管理人决定，并在招募说明书中列示。赎回金额为按实</w:delText>
        </w:r>
        <w:r>
          <w:delText>际确认的有效赎回份额乘以当日该类基金份额净值并扣除相应的费用，赎回金额单位为元。上述计算结果均按四舍五入方法，保留到小数点后</w:delText>
        </w:r>
        <w:r>
          <w:delText xml:space="preserve"> </w:delText>
        </w:r>
        <w:r>
          <w:rPr>
            <w:rFonts w:ascii="Times New Roman" w:eastAsia="Times New Roman" w:hAnsi="Times New Roman" w:cs="Times New Roman"/>
          </w:rPr>
          <w:delText xml:space="preserve">2 </w:delText>
        </w:r>
        <w:r>
          <w:delText>位，由此产生的收益或损失由基金财产承担。</w:delText>
        </w:r>
        <w:r>
          <w:rPr>
            <w:rFonts w:ascii="Times New Roman" w:eastAsia="Times New Roman" w:hAnsi="Times New Roman" w:cs="Times New Roman"/>
          </w:rPr>
          <w:delText xml:space="preserve"> 4</w:delText>
        </w:r>
        <w:r>
          <w:delText>、申购费用由投资人承担，不列入基金财产。</w:delText>
        </w:r>
        <w:r>
          <w:rPr>
            <w:rFonts w:ascii="Times New Roman" w:eastAsia="Times New Roman" w:hAnsi="Times New Roman" w:cs="Times New Roman"/>
          </w:rPr>
          <w:delText xml:space="preserve"> </w:delText>
        </w:r>
      </w:del>
      <w:ins w:id="14" w:author="FundLex" w:date="2026-10-22T02:50:08Z">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ins>
    </w:p>
    <w:p w14:paraId="60FDA6E1" w14:textId="77777777" w:rsidR="00865249" w:rsidRDefault="00AD7DA4">
      <w:pPr>
        <w:numPr>
          <w:ilvl w:val="0"/>
          <w:numId w:val="19"/>
        </w:numPr>
        <w:spacing w:after="4" w:line="373" w:lineRule="auto"/>
        <w:ind w:right="9" w:firstLine="480"/>
      </w:pPr>
      <w:del w:id="15" w:author="FundLex" w:date="2026-10-22T02:50:08Z">
        <w:r>
          <w:delText>赎回费用由赎回基金份额的基金份额持有人承担，在基金份额持有人赎回基金份额时收取。赎回费用归入基金财产的比例应根据相关规定执行，并在招募说明书中列示。本基金对持续持有期少于</w:delText>
        </w:r>
        <w:r>
          <w:delText xml:space="preserve"> </w:delText>
        </w:r>
        <w:r>
          <w:rPr>
            <w:rFonts w:ascii="Times New Roman" w:eastAsia="Times New Roman" w:hAnsi="Times New Roman" w:cs="Times New Roman"/>
          </w:rPr>
          <w:delText xml:space="preserve">7 </w:delText>
        </w:r>
        <w:r>
          <w:delText>日的投资者收取不低于</w:delText>
        </w:r>
        <w:r>
          <w:delText xml:space="preserve"> </w:delText>
        </w:r>
        <w:r>
          <w:rPr>
            <w:rFonts w:ascii="Times New Roman" w:eastAsia="Times New Roman" w:hAnsi="Times New Roman" w:cs="Times New Roman"/>
          </w:rPr>
          <w:delText>1.50%</w:delText>
        </w:r>
        <w:r>
          <w:delText>的赎回费，并将上述赎回费全额计入基金财产。</w:delText>
        </w:r>
      </w:del>
      <w:ins w:id="16" w:author="FundLex" w:date="2026-10-22T02:50:08Z">
        <w:r>
          <w:t>赎回费用由赎回基金份额的基金份额持有人承担，在基金份额持有人赎回基金份额时收取。赎回费用全额计入基金财产。</w:t>
        </w:r>
      </w:ins>
      <w:r>
        <w:rPr>
          <w:rFonts w:ascii="Times New Roman" w:eastAsia="Times New Roman" w:hAnsi="Times New Roman" w:cs="Times New Roman"/>
        </w:rPr>
        <w:t xml:space="preserve">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del w:id="17" w:author="FundLex" w:date="2026-10-22T02:50:08Z">
        <w:r>
          <w:delText>基金管理人可以适当调低基金申购费率和基金赎回费率。</w:delText>
        </w:r>
      </w:del>
      <w:ins w:id="18" w:author="FundLex" w:date="2026-10-22T02:50:08Z">
        <w:r>
          <w:t>基金管理人可以适当调低基金申购费率和销售服务费率。</w:t>
        </w:r>
      </w:ins>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del w:id="19" w:author="FundLex" w:date="2026-10-22T02:50:08Z">
        <w:r>
          <w:rPr>
            <w:rFonts w:ascii="Times New Roman" w:eastAsia="Times New Roman" w:hAnsi="Times New Roman" w:cs="Times New Roman"/>
          </w:rPr>
          <w:delText xml:space="preserve">C </w:delText>
        </w:r>
        <w:r>
          <w:delText>类基金份额的销售服务费每日计提，逐日累计至每个月月末，按月支付。经基金管理人与基金托管人核对一致后，由基金托管人在次月初五个工作日内从</w:delText>
        </w:r>
        <w:r>
          <w:delText>基金财产中一次性支付，由注册登记机构代收，注册登记机构收到后按相关合同规定支付给基金销售机构等。</w:delText>
        </w:r>
        <w:r>
          <w:rPr>
            <w:rFonts w:ascii="Times New Roman" w:eastAsia="Times New Roman" w:hAnsi="Times New Roman" w:cs="Times New Roman"/>
          </w:rPr>
          <w:delText xml:space="preserve"> </w:delText>
        </w:r>
      </w:del>
      <w:ins w:id="20" w:author="FundLex" w:date="2026-10-22T02:50:08Z">
        <w:r>
          <w:rPr>
            <w:rFonts w:ascii="Times New Roman" w:eastAsia="Times New Roman" w:hAnsi="Times New Roman" w:cs="Times New Roman"/>
          </w:rPr>
          <w:t xml:space="preserve">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 </w:t>
        </w:r>
      </w:ins>
    </w:p>
    <w:p w14:paraId="7AB4D4BD" w14:textId="77777777" w:rsidR="00865249" w:rsidRDefault="00AD7DA4">
      <w:pPr>
        <w:spacing w:after="12" w:line="365" w:lineRule="auto"/>
        <w:ind w:left="-15" w:right="9" w:firstLine="480"/>
      </w:pPr>
      <w:del w:id="21" w:author="FundLex" w:date="2026-10-22T02:50:08Z">
        <w:r>
          <w:delText>销售服务费主要用于支付销售机构佣金、以及基金管理人的基金行销广告费、促销活动费、持有人服务费等。销售服务费不包括基金募集期间的上述费用。</w:delText>
        </w:r>
      </w:del>
      <w:ins w:id="22" w:author="FundLex" w:date="2026-10-22T02:50:08Z">
        <w:r>
          <w:t/>
        </w:r>
      </w:ins>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del w:id="23" w:author="FundLex" w:date="2026-10-22T02:50:08Z">
        <w:r>
          <w:delText>由于本基金</w:delText>
        </w:r>
        <w:r>
          <w:delText xml:space="preserve"> </w:delText>
        </w:r>
        <w:r>
          <w:rPr>
            <w:rFonts w:ascii="Times New Roman" w:eastAsia="Times New Roman" w:hAnsi="Times New Roman" w:cs="Times New Roman"/>
          </w:rPr>
          <w:delText xml:space="preserve">A </w:delText>
        </w:r>
        <w:r>
          <w:delText>类基金份额和</w:delText>
        </w:r>
        <w:r>
          <w:delText xml:space="preserve"> </w:delText>
        </w:r>
        <w:r>
          <w:rPr>
            <w:rFonts w:ascii="Times New Roman" w:eastAsia="Times New Roman" w:hAnsi="Times New Roman" w:cs="Times New Roman"/>
          </w:rPr>
          <w:delText xml:space="preserve">D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24" w:author="FundLex" w:date="2026-10-22T02:50:08Z">
        <w:r>
          <w:t>由于本基金A类、D类基金份额和C类基金份额费用收取不同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del w:id="27" w:author="FundLex" w:date="2026-10-22T02:50:08Z">
        <w:r>
          <w:delText>依据基金财产清算的分配方案，将基金财产清算后的全部剩余资产扣除基金财产清算费用、交纳所欠税款并清偿基金债务后，按基金份额持有人持有的基金份额比例进行分配。</w:delText>
        </w:r>
      </w:del>
      <w:ins w:id="28" w:author="FundLex" w:date="2026-10-22T02:50:0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w:t>
      </w:r>
      <w:r>
        <w:t>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del w:id="1" w:author="FundLex" w:date="2026-10-22T02:50:08Z">
        <w:r>
          <w:delText>C</w:delText>
        </w:r>
        <w:r>
          <w:delText>类基金份额的销售服务费每日计提，逐日累计至每个月月末，按月支付。经基金管理人与基金托管人核对一致后，由基金托管人在次月初五个工作日内从基金财产中一次性支付，由注册登记机构代收，注册登记机构收到后按相关合同规定支付给基金销售机构等。</w:delText>
        </w:r>
        <w:r>
          <w:delText xml:space="preserve"> </w:delText>
        </w:r>
      </w:del>
      <w:ins w:id="2" w:author="FundLex" w:date="2026-10-22T02:50:08Z">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ins>
    </w:p>
    <w:p w14:paraId="192C8601" w14:textId="77777777" w:rsidR="00865249" w:rsidRDefault="00AD7DA4">
      <w:pPr>
        <w:spacing w:after="6" w:line="370" w:lineRule="auto"/>
        <w:ind w:left="-15" w:right="388" w:firstLine="470"/>
        <w:jc w:val="both"/>
      </w:pPr>
      <w:del w:id="3" w:author="FundLex" w:date="2026-10-22T02:50:08Z">
        <w:r>
          <w:delText>销售服务费主要用于支付销售机构佣金、以及基金管理人的基金行销广告费、促销活动费、持有人服务费等。销售服务费不包括基金募集期间的上述费用。</w:delText>
        </w:r>
      </w:del>
      <w:ins w:id="4" w:author="FundLex" w:date="2026-10-22T02:50:08Z">
        <w:r>
          <w:t/>
        </w:r>
      </w:ins>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del w:id="9" w:author="FundLex" w:date="2026-10-22T02:50:08Z">
        <w:r>
          <w:delText>依据基金财产清算的分配方案，将基金财产清算后的全部</w:delText>
        </w:r>
        <w:r>
          <w:delText>剩余资产扣除基金财产清算费用、交纳所欠税款并清偿基金债务后，按基金份额持有人持有的基金份额比例进行分配。</w:delText>
        </w:r>
      </w:del>
      <w:ins w:id="10" w:author="FundLex" w:date="2026-10-22T02:50:08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