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r>
        <w:t>通过直销机构申购本基金A类基金份额不收取申购费，通过其他销售机构申购本基金A类基金份额的申购费用由投资人承担，不列入基金财产。本基金C类基金份额不收取申购费用。</w:t>
      </w:r>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r>
        <w:t>赎回费用由赎回基金份额的基金份额持有人承担，在基金份额持有人赎回基金份额时收取。赎回费用全额计入基金财产。</w:t>
      </w:r>
    </w:p>
    <w:p w14:paraId="5A439A59" w14:textId="77777777" w:rsidR="00A01A4E" w:rsidRDefault="00C56536">
      <w:r>
        <w:rPr>
          <w:rFonts w:ascii="Times New Roman" w:eastAsia="Times New Roman" w:hAnsi="Times New Roman" w:cs="Times New Roman"/>
        </w:rPr>
        <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p>
    <w:p w14:paraId="29A41E74" w14:textId="77777777" w:rsidR="00A01A4E" w:rsidRDefault="00C56536">
      <w:pPr>
        <w:spacing w:after="18" w:line="365" w:lineRule="auto"/>
        <w:ind w:left="0" w:firstLine="480"/>
      </w:pPr>
      <w:r>
        <w:t/>
      </w:r>
      <w:r>
        <w:rPr>
          <w:rFonts w:ascii="Times New Roman" w:eastAsia="Times New Roman" w:hAnsi="Times New Roman" w:cs="Times New Roman"/>
        </w:rPr>
        <w:t xml:space="preserve"> </w:t>
      </w:r>
    </w:p>
    <w:p w14:paraId="183115B2" w14:textId="77777777" w:rsidR="00A01A4E" w:rsidRDefault="00C56536">
      <w:pPr>
        <w:ind w:left="477"/>
      </w:pPr>
      <w:r>
        <w:t/>
      </w:r>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p>
    <w:p w14:paraId="349AB4E1" w14:textId="77777777" w:rsidR="00A01A4E" w:rsidRDefault="00C56536">
      <w:pPr>
        <w:spacing w:after="18" w:line="365" w:lineRule="auto"/>
        <w:ind w:left="0" w:firstLine="480"/>
      </w:pPr>
      <w:r>
        <w:t xml:space="preserve"> </w:t>
      </w:r>
      <w:r>
        <w:rPr>
          <w:rFonts w:ascii="Times New Roman" w:eastAsia="Times New Roman" w:hAnsi="Times New Roman" w:cs="Times New Roman"/>
        </w:rPr>
        <w:t xml:space="preserve"> </w:t>
      </w:r>
    </w:p>
    <w:p w14:paraId="2E19FA4D" w14:textId="77777777" w:rsidR="00A01A4E" w:rsidRDefault="00C56536">
      <w:pPr>
        <w:ind w:left="477"/>
      </w:pPr>
      <w:r>
        <w:t xml:space="preserve"> </w:t>
      </w:r>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