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Calibri" w:cs="Calibri" w:eastAsia="Calibri" w:hAnsi="Calibri"/>
          <w:b/>
          <w:bCs/>
          <w:sz w:val="44"/>
          <w:szCs w:val="44"/>
        </w:rPr>
        <w:t xml:space="preserve">Evaluación Crítica Metodológica</w:t>
      </w:r>
    </w:p>
    <w:p>
      <w:pPr>
        <w:spacing w:after="100"/>
        <w:jc w:val="center"/>
      </w:pPr>
      <w:r>
        <w:rPr>
          <w:rFonts w:ascii="Calibri" w:cs="Calibri" w:eastAsia="Calibri" w:hAnsi="Calibri"/>
          <w:i/>
          <w:iCs/>
          <w:sz w:val="30"/>
          <w:szCs w:val="30"/>
        </w:rPr>
        <w:t xml:space="preserve">“Colorful Insights from an AI Khipukamayuq”</w:t>
      </w:r>
    </w:p>
    <w:p>
      <w:pPr>
        <w:spacing w:after="700"/>
        <w:jc w:val="center"/>
      </w:pPr>
      <w:r>
        <w:rPr>
          <w:rFonts w:ascii="Calibri" w:cs="Calibri" w:eastAsia="Calibri" w:hAnsi="Calibri"/>
          <w:color w:val="555555"/>
          <w:sz w:val="24"/>
          <w:szCs w:val="24"/>
        </w:rPr>
        <w:t xml:space="preserve">Jon Clindaniel, University of Chicago (2024)</w:t>
      </w:r>
    </w:p>
    <w:p>
      <w:pPr>
        <w:spacing w:after="1600"/>
        <w:jc w:val="center"/>
      </w:pPr>
      <w:r>
        <w:rPr>
          <w:rFonts w:ascii="Calibri" w:cs="Calibri" w:eastAsia="Calibri" w:hAnsi="Calibri"/>
          <w:i/>
          <w:iCs/>
          <w:color w:val="666666"/>
          <w:sz w:val="22"/>
          <w:szCs w:val="22"/>
        </w:rPr>
        <w:t xml:space="preserve">¿Hasta qué punto las conclusiones del autor están justificadas por su propia evidencia?</w:t>
      </w:r>
    </w:p>
    <w:p>
      <w:pPr>
        <w:spacing w:after="80"/>
        <w:jc w:val="center"/>
      </w:pPr>
      <w:r>
        <w:rPr>
          <w:rFonts w:ascii="Calibri" w:cs="Calibri" w:eastAsia="Calibri" w:hAnsi="Calibri"/>
          <w:color w:val="888888"/>
          <w:sz w:val="20"/>
          <w:szCs w:val="20"/>
        </w:rPr>
        <w:t xml:space="preserve">Documento preparado para discusión académica</w:t>
      </w:r>
    </w:p>
    <w:p>
      <w:pPr>
        <w:spacing w:after="80"/>
        <w:jc w:val="center"/>
      </w:pPr>
      <w:r>
        <w:rPr>
          <w:rFonts w:ascii="Calibri" w:cs="Calibri" w:eastAsia="Calibri" w:hAnsi="Calibri"/>
          <w:color w:val="888888"/>
          <w:sz w:val="20"/>
          <w:szCs w:val="20"/>
        </w:rPr>
        <w:t xml:space="preserve">Fecha: 11 de agosto de 2026</w:t>
      </w:r>
    </w:p>
    <w:p>
      <w:pPr>
        <w:pStyle w:val="Heading1"/>
        <w:spacing w:after="240" w:before="480"/>
      </w:pPr>
      <w:r>
        <w:t xml:space="preserve">Nota metodológica sobre esta evaluación</w:t>
      </w:r>
    </w:p>
    <w:p>
      <w:pPr>
        <w:spacing w:after="160"/>
        <w:jc w:val="both"/>
      </w:pPr>
      <w:r>
        <w:rPr>
          <w:rFonts w:ascii="Calibri" w:cs="Calibri" w:eastAsia="Calibri" w:hAnsi="Calibri"/>
          <w:sz w:val="22"/>
          <w:szCs w:val="22"/>
        </w:rPr>
        <w:t xml:space="preserve">Este documento no es un resumen del paper de Jon Clindaniel, “Colorful Insights from an AI Khipukamayuq” (enviado el 20 de mayo de 2024 para Symmetry, Repetition, and Pattern Recognition in Andean Khipus, Boundary End Archaeology Research Center; en adelante “el paper” o “CI-2024”). Es una auditoría crítica de la distancia entre lo que el paper hace metodológicamente y lo que sus conclusiones afirman haber demostrado.</w:t>
      </w:r>
    </w:p>
    <w:p>
      <w:pPr>
        <w:spacing w:after="160"/>
        <w:jc w:val="both"/>
      </w:pPr>
      <w:r>
        <w:rPr>
          <w:rFonts w:ascii="Calibri" w:cs="Calibri" w:eastAsia="Calibri" w:hAnsi="Calibri"/>
          <w:sz w:val="22"/>
          <w:szCs w:val="22"/>
        </w:rPr>
        <w:t xml:space="preserve">El paper se leyó de forma íntegra y directa (introducción, antecedentes, sección de métodos, resultados, figuras 1-13, discusión, conclusión y referencias) a partir del texto completo extraído del PDF fuente. Todas las citas textuales están marcadas entre comillas y referenciadas por página según la paginación impresa del propio documento. Cuando una afirmación de esta evaluación se apoya en otra fuente del corpus bibliográfico de khipus ya revisado (la disertación de Clindaniel de 2019, Medrano y Khosla 2024, el Basel Khipu Report, Medrano 2021, Brezine et al. 2024), se cita explícitamente esa fuente.</w:t>
      </w:r>
    </w:p>
    <w:p>
      <w:pPr>
        <w:spacing w:after="160"/>
        <w:jc w:val="both"/>
      </w:pPr>
      <w:r>
        <w:rPr>
          <w:rFonts w:ascii="Calibri" w:cs="Calibri" w:eastAsia="Calibri" w:hAnsi="Calibri"/>
          <w:sz w:val="22"/>
          <w:szCs w:val="22"/>
        </w:rPr>
        <w:t xml:space="preserve">Cada crítica de este documento se clasifica según su tipo de respaldo, siguiendo un esquema de tres categorías:</w:t>
      </w:r>
    </w:p>
    <w:p>
      <w:pPr>
        <w:pStyle w:val="ListParagraph"/>
        <w:numPr>
          <w:ilvl w:val="0"/>
          <w:numId w:val="1"/>
        </w:numPr>
        <w:spacing w:after="90"/>
      </w:pPr>
      <w:r>
        <w:rPr>
          <w:rFonts w:ascii="Calibri" w:cs="Calibri" w:eastAsia="Calibri" w:hAnsi="Calibri"/>
          <w:b/>
          <w:bCs/>
          <w:sz w:val="22"/>
          <w:szCs w:val="22"/>
        </w:rPr>
        <w:t xml:space="preserve">Categoría A — Problema demostrado por el propio paper: </w:t>
      </w:r>
      <w:r>
        <w:rPr>
          <w:rFonts w:ascii="Calibri" w:cs="Calibri" w:eastAsia="Calibri" w:hAnsi="Calibri"/>
          <w:sz w:val="22"/>
          <w:szCs w:val="22"/>
        </w:rPr>
        <w:t xml:space="preserve">la metodología o el texto del paper, leídos con cuidado, evidencian directamente el problema (p.ej. una afirmación fuerte sin el experimento que la sustente, o una omisión verificable en la descripción del método).</w:t>
      </w:r>
    </w:p>
    <w:p>
      <w:pPr>
        <w:pStyle w:val="ListParagraph"/>
        <w:numPr>
          <w:ilvl w:val="0"/>
          <w:numId w:val="1"/>
        </w:numPr>
        <w:spacing w:after="90"/>
      </w:pPr>
      <w:r>
        <w:rPr>
          <w:rFonts w:ascii="Calibri" w:cs="Calibri" w:eastAsia="Calibri" w:hAnsi="Calibri"/>
          <w:b/>
          <w:bCs/>
          <w:sz w:val="22"/>
          <w:szCs w:val="22"/>
        </w:rPr>
        <w:t xml:space="preserve">Categoría B — Problema respaldado por conocimiento externo sobre khipus: </w:t>
      </w:r>
      <w:r>
        <w:rPr>
          <w:rFonts w:ascii="Calibri" w:cs="Calibri" w:eastAsia="Calibri" w:hAnsi="Calibri"/>
          <w:sz w:val="22"/>
          <w:szCs w:val="22"/>
        </w:rPr>
        <w:t xml:space="preserve">el conocimiento ya establecido en la literatura de khipus (revisada en el documento “Revisión Bibliográfica Quipus”) plantea una objeción razonable que el paper no aborda.</w:t>
      </w:r>
    </w:p>
    <w:p>
      <w:pPr>
        <w:pStyle w:val="ListParagraph"/>
        <w:numPr>
          <w:ilvl w:val="0"/>
          <w:numId w:val="1"/>
        </w:numPr>
        <w:spacing w:after="90"/>
      </w:pPr>
      <w:r>
        <w:rPr>
          <w:rFonts w:ascii="Calibri" w:cs="Calibri" w:eastAsia="Calibri" w:hAnsi="Calibri"/>
          <w:b/>
          <w:bCs/>
          <w:sz w:val="22"/>
          <w:szCs w:val="22"/>
        </w:rPr>
        <w:t xml:space="preserve">Categoría C — Pregunta abierta: </w:t>
      </w:r>
      <w:r>
        <w:rPr>
          <w:rFonts w:ascii="Calibri" w:cs="Calibri" w:eastAsia="Calibri" w:hAnsi="Calibri"/>
          <w:sz w:val="22"/>
          <w:szCs w:val="22"/>
        </w:rPr>
        <w:t xml:space="preserve">existe una posibilidad razonable de que algo sea un problema, pero no hay evidencia suficiente (ni en el paper ni en la literatura externa) para considerarla una debilidad demostrada. Se presenta como pregunta, no como defecto.</w:t>
      </w:r>
    </w:p>
    <w:p>
      <w:pPr>
        <w:spacing w:after="160"/>
        <w:jc w:val="both"/>
      </w:pPr>
      <w:r>
        <w:rPr>
          <w:rFonts w:ascii="Calibri" w:cs="Calibri" w:eastAsia="Calibri" w:hAnsi="Calibri"/>
          <w:sz w:val="22"/>
          <w:szCs w:val="22"/>
        </w:rPr>
        <w:t xml:space="preserve">Este documento no parte de la premisa de que el paper esté equivocado, ni de que esté bien fundamentado. El objetivo es medir, salto por salto, si la cadena datos → representación → algoritmo → patrón encontrado → interpretación → conclusión está justificada en cada eslabón. Cuando una decisión metodológica del autor es razonable y está bien fundamentada, este documento lo dice explícitamente — la regla explícita seguida aquí es no fabricar objeciones donde la evidencia del propio paper ya responde a la objeción.</w:t>
      </w:r>
    </w:p>
    <w:p>
      <w:pPr>
        <w:spacing w:after="160"/>
        <w:jc w:val="both"/>
      </w:pPr>
      <w:r>
        <w:rPr>
          <w:rFonts w:ascii="Calibri" w:cs="Calibri" w:eastAsia="Calibri" w:hAnsi="Calibri"/>
          <w:sz w:val="22"/>
          <w:szCs w:val="22"/>
        </w:rPr>
        <w:t xml:space="preserve">Advertencia de alcance: esta es una lectura crítica de un solo paper, hecha por un lector no especialista en antropología ni en NLP formal, apoyada en la lectura completa del texto y en la síntesis bibliográfica ya construida sobre khipus. No sustituye la revisión por pares de un experto en semiótica andina, arqueología computacional o modelos de lenguaje. Se ofrece como insumo estructurado para una discusión con un profesor especializado, no como veredicto final.</w:t>
      </w:r>
    </w:p>
    <w:p>
      <w:pPr>
        <w:pStyle w:val="Heading1"/>
        <w:spacing w:after="240" w:before="480"/>
      </w:pPr>
      <w:r>
        <w:t xml:space="preserve">Índice</w:t>
      </w:r>
    </w:p>
    <w:p>
      <w:pPr>
        <w:spacing w:after="100"/>
      </w:pPr>
      <w:r>
        <w:rPr>
          <w:rFonts w:ascii="Calibri" w:cs="Calibri" w:eastAsia="Calibri" w:hAnsi="Calibri"/>
          <w:sz w:val="22"/>
          <w:szCs w:val="22"/>
        </w:rPr>
        <w:t xml:space="preserve">Nota metodológica sobre esta evaluación</w:t>
      </w:r>
    </w:p>
    <w:p>
      <w:pPr>
        <w:spacing w:after="100"/>
      </w:pPr>
      <w:r>
        <w:rPr>
          <w:rFonts w:ascii="Calibri" w:cs="Calibri" w:eastAsia="Calibri" w:hAnsi="Calibri"/>
          <w:sz w:val="22"/>
          <w:szCs w:val="22"/>
        </w:rPr>
        <w:t xml:space="preserve">1. El pipeline completo: de la cuerda física a la conclusión</w:t>
      </w:r>
    </w:p>
    <w:p>
      <w:pPr>
        <w:spacing w:after="100"/>
      </w:pPr>
      <w:r>
        <w:rPr>
          <w:rFonts w:ascii="Calibri" w:cs="Calibri" w:eastAsia="Calibri" w:hAnsi="Calibri"/>
          <w:sz w:val="22"/>
          <w:szCs w:val="22"/>
        </w:rPr>
        <w:t xml:space="preserve">2. Pregunta crítica 1: ¿por qué representar los khipus como texto?</w:t>
      </w:r>
    </w:p>
    <w:p>
      <w:pPr>
        <w:spacing w:after="100"/>
      </w:pPr>
      <w:r>
        <w:rPr>
          <w:rFonts w:ascii="Calibri" w:cs="Calibri" w:eastAsia="Calibri" w:hAnsi="Calibri"/>
          <w:sz w:val="22"/>
          <w:szCs w:val="22"/>
        </w:rPr>
        <w:t xml:space="preserve">3. Sesgo introducido por la representación (representation bias)</w:t>
      </w:r>
    </w:p>
    <w:p>
      <w:pPr>
        <w:spacing w:after="100"/>
      </w:pPr>
      <w:r>
        <w:rPr>
          <w:rFonts w:ascii="Calibri" w:cs="Calibri" w:eastAsia="Calibri" w:hAnsi="Calibri"/>
          <w:sz w:val="22"/>
          <w:szCs w:val="22"/>
        </w:rPr>
        <w:t xml:space="preserve">4. ¿Qué pasa con los khipus numéricos? El punto ciego aritmético del modelo</w:t>
      </w:r>
    </w:p>
    <w:p>
      <w:pPr>
        <w:spacing w:after="100"/>
      </w:pPr>
      <w:r>
        <w:rPr>
          <w:rFonts w:ascii="Calibri" w:cs="Calibri" w:eastAsia="Calibri" w:hAnsi="Calibri"/>
          <w:sz w:val="22"/>
          <w:szCs w:val="22"/>
        </w:rPr>
        <w:t xml:space="preserve">5. Cuerdas consecutivas del mismo color: ¿qué hace el paper con la repetición?</w:t>
      </w:r>
    </w:p>
    <w:p>
      <w:pPr>
        <w:spacing w:after="100"/>
      </w:pPr>
      <w:r>
        <w:rPr>
          <w:rFonts w:ascii="Calibri" w:cs="Calibri" w:eastAsia="Calibri" w:hAnsi="Calibri"/>
          <w:sz w:val="22"/>
          <w:szCs w:val="22"/>
        </w:rPr>
        <w:t xml:space="preserve">6. Orden, posición y contexto estructural</w:t>
      </w:r>
    </w:p>
    <w:p>
      <w:pPr>
        <w:spacing w:after="100"/>
      </w:pPr>
      <w:r>
        <w:rPr>
          <w:rFonts w:ascii="Calibri" w:cs="Calibri" w:eastAsia="Calibri" w:hAnsi="Calibri"/>
          <w:sz w:val="22"/>
          <w:szCs w:val="22"/>
        </w:rPr>
        <w:t xml:space="preserve">7. El problema de los clusters: cuatro niveles que no deben confundirse</w:t>
      </w:r>
    </w:p>
    <w:p>
      <w:pPr>
        <w:spacing w:after="100"/>
      </w:pPr>
      <w:r>
        <w:rPr>
          <w:rFonts w:ascii="Calibri" w:cs="Calibri" w:eastAsia="Calibri" w:hAnsi="Calibri"/>
          <w:sz w:val="22"/>
          <w:szCs w:val="22"/>
        </w:rPr>
        <w:t xml:space="preserve">8. ¿Qué nos dicen realmente los clusters (y qué no)?</w:t>
      </w:r>
    </w:p>
    <w:p>
      <w:pPr>
        <w:spacing w:after="100"/>
      </w:pPr>
      <w:r>
        <w:rPr>
          <w:rFonts w:ascii="Calibri" w:cs="Calibri" w:eastAsia="Calibri" w:hAnsi="Calibri"/>
          <w:sz w:val="22"/>
          <w:szCs w:val="22"/>
        </w:rPr>
        <w:t xml:space="preserve">9. Explicaciones alternativas para los resultados principales</w:t>
      </w:r>
    </w:p>
    <w:p>
      <w:pPr>
        <w:spacing w:after="100"/>
      </w:pPr>
      <w:r>
        <w:rPr>
          <w:rFonts w:ascii="Calibri" w:cs="Calibri" w:eastAsia="Calibri" w:hAnsi="Calibri"/>
          <w:sz w:val="22"/>
          <w:szCs w:val="22"/>
        </w:rPr>
        <w:t xml:space="preserve">10. ¿Es el autor demasiado optimista? Tabla de afirmaciones fuertes</w:t>
      </w:r>
    </w:p>
    <w:p>
      <w:pPr>
        <w:spacing w:after="100"/>
      </w:pPr>
      <w:r>
        <w:rPr>
          <w:rFonts w:ascii="Calibri" w:cs="Calibri" w:eastAsia="Calibri" w:hAnsi="Calibri"/>
          <w:sz w:val="22"/>
          <w:szCs w:val="22"/>
        </w:rPr>
        <w:t xml:space="preserve">11. Patrón, estructura, función, significado e intención: ¿el paper las distingue?</w:t>
      </w:r>
    </w:p>
    <w:p>
      <w:pPr>
        <w:spacing w:after="100"/>
      </w:pPr>
      <w:r>
        <w:rPr>
          <w:rFonts w:ascii="Calibri" w:cs="Calibri" w:eastAsia="Calibri" w:hAnsi="Calibri"/>
          <w:sz w:val="22"/>
          <w:szCs w:val="22"/>
        </w:rPr>
        <w:t xml:space="preserve">12. Uso del conocimiento existente sobre khipus para cuestionar los supuestos</w:t>
      </w:r>
    </w:p>
    <w:p>
      <w:pPr>
        <w:spacing w:after="100"/>
      </w:pPr>
      <w:r>
        <w:rPr>
          <w:rFonts w:ascii="Calibri" w:cs="Calibri" w:eastAsia="Calibri" w:hAnsi="Calibri"/>
          <w:sz w:val="22"/>
          <w:szCs w:val="22"/>
        </w:rPr>
        <w:t xml:space="preserve">13. Limitaciones no discutidas explícitamente por el autor</w:t>
      </w:r>
    </w:p>
    <w:p>
      <w:pPr>
        <w:spacing w:after="100"/>
      </w:pPr>
      <w:r>
        <w:rPr>
          <w:rFonts w:ascii="Calibri" w:cs="Calibri" w:eastAsia="Calibri" w:hAnsi="Calibri"/>
          <w:sz w:val="22"/>
          <w:szCs w:val="22"/>
        </w:rPr>
        <w:t xml:space="preserve">14. Generalización: ¿sobre qué universo habla realmente el paper?</w:t>
      </w:r>
    </w:p>
    <w:p>
      <w:pPr>
        <w:spacing w:after="100"/>
      </w:pPr>
      <w:r>
        <w:rPr>
          <w:rFonts w:ascii="Calibri" w:cs="Calibri" w:eastAsia="Calibri" w:hAnsi="Calibri"/>
          <w:sz w:val="22"/>
          <w:szCs w:val="22"/>
        </w:rPr>
        <w:t xml:space="preserve">15. Representatividad del dataset</w:t>
      </w:r>
    </w:p>
    <w:p>
      <w:pPr>
        <w:spacing w:after="100"/>
      </w:pPr>
      <w:r>
        <w:rPr>
          <w:rFonts w:ascii="Calibri" w:cs="Calibri" w:eastAsia="Calibri" w:hAnsi="Calibri"/>
          <w:sz w:val="22"/>
          <w:szCs w:val="22"/>
        </w:rPr>
        <w:t xml:space="preserve">16. Evidencia independiente</w:t>
      </w:r>
    </w:p>
    <w:p>
      <w:pPr>
        <w:spacing w:after="100"/>
      </w:pPr>
      <w:r>
        <w:rPr>
          <w:rFonts w:ascii="Calibri" w:cs="Calibri" w:eastAsia="Calibri" w:hAnsi="Calibri"/>
          <w:sz w:val="22"/>
          <w:szCs w:val="22"/>
        </w:rPr>
        <w:t xml:space="preserve">17. El problema de “garbage in, garbage out”</w:t>
      </w:r>
    </w:p>
    <w:p>
      <w:pPr>
        <w:spacing w:after="100"/>
      </w:pPr>
      <w:r>
        <w:rPr>
          <w:rFonts w:ascii="Calibri" w:cs="Calibri" w:eastAsia="Calibri" w:hAnsi="Calibri"/>
          <w:sz w:val="22"/>
          <w:szCs w:val="22"/>
        </w:rPr>
        <w:t xml:space="preserve">18. Qué experimentos faltan</w:t>
      </w:r>
    </w:p>
    <w:p>
      <w:pPr>
        <w:spacing w:after="100"/>
      </w:pPr>
      <w:r>
        <w:rPr>
          <w:rFonts w:ascii="Calibri" w:cs="Calibri" w:eastAsia="Calibri" w:hAnsi="Calibri"/>
          <w:sz w:val="22"/>
          <w:szCs w:val="22"/>
        </w:rPr>
        <w:t xml:space="preserve">19. Ejemplos visuales: qué existe, qué falta, qué se propone</w:t>
      </w:r>
    </w:p>
    <w:p>
      <w:pPr>
        <w:spacing w:after="100"/>
      </w:pPr>
      <w:r>
        <w:rPr>
          <w:rFonts w:ascii="Calibri" w:cs="Calibri" w:eastAsia="Calibri" w:hAnsi="Calibri"/>
          <w:sz w:val="22"/>
          <w:szCs w:val="22"/>
        </w:rPr>
        <w:t xml:space="preserve">20. Tabla final de fortalezas y debilidades</w:t>
      </w:r>
    </w:p>
    <w:p>
      <w:pPr>
        <w:spacing w:after="100"/>
      </w:pPr>
      <w:r>
        <w:rPr>
          <w:rFonts w:ascii="Calibri" w:cs="Calibri" w:eastAsia="Calibri" w:hAnsi="Calibri"/>
          <w:sz w:val="22"/>
          <w:szCs w:val="22"/>
        </w:rPr>
        <w:t xml:space="preserve">21. Ranking de las debilidades identificadas</w:t>
      </w:r>
    </w:p>
    <w:p>
      <w:pPr>
        <w:spacing w:after="100"/>
      </w:pPr>
      <w:r>
        <w:rPr>
          <w:rFonts w:ascii="Calibri" w:cs="Calibri" w:eastAsia="Calibri" w:hAnsi="Calibri"/>
          <w:sz w:val="22"/>
          <w:szCs w:val="22"/>
        </w:rPr>
        <w:t xml:space="preserve">22. Evaluación del valor real del paper</w:t>
      </w:r>
    </w:p>
    <w:p>
      <w:pPr>
        <w:spacing w:after="100"/>
      </w:pPr>
      <w:r>
        <w:rPr>
          <w:rFonts w:ascii="Calibri" w:cs="Calibri" w:eastAsia="Calibri" w:hAnsi="Calibri"/>
          <w:sz w:val="22"/>
          <w:szCs w:val="22"/>
        </w:rPr>
        <w:t xml:space="preserve">23. Revisión de cada conclusión principal del autor</w:t>
      </w:r>
    </w:p>
    <w:p>
      <w:pPr>
        <w:spacing w:after="100"/>
      </w:pPr>
      <w:r>
        <w:rPr>
          <w:rFonts w:ascii="Calibri" w:cs="Calibri" w:eastAsia="Calibri" w:hAnsi="Calibri"/>
          <w:sz w:val="22"/>
          <w:szCs w:val="22"/>
        </w:rPr>
        <w:t xml:space="preserve">24. Conclusión crítica final</w:t>
      </w:r>
    </w:p>
    <w:p>
      <w:pPr>
        <w:spacing w:after="100"/>
      </w:pPr>
      <w:r>
        <w:rPr>
          <w:rFonts w:ascii="Calibri" w:cs="Calibri" w:eastAsia="Calibri" w:hAnsi="Calibri"/>
          <w:sz w:val="22"/>
          <w:szCs w:val="22"/>
        </w:rPr>
        <w:t xml:space="preserve">25. Preguntas para discutir con el profesor</w:t>
      </w:r>
    </w:p>
    <w:p>
      <w:pPr>
        <w:pStyle w:val="Heading1"/>
        <w:pageBreakBefore/>
        <w:spacing w:after="240" w:before="480"/>
      </w:pPr>
      <w:r>
        <w:t xml:space="preserve">1. El pipeline completo: de la cuerda física a la conclusión</w:t>
      </w:r>
    </w:p>
    <w:p>
      <w:pPr>
        <w:spacing w:after="160"/>
        <w:jc w:val="both"/>
      </w:pPr>
      <w:r>
        <w:rPr>
          <w:rFonts w:ascii="Calibri" w:cs="Calibri" w:eastAsia="Calibri" w:hAnsi="Calibri"/>
          <w:sz w:val="22"/>
          <w:szCs w:val="22"/>
        </w:rPr>
        <w:t xml:space="preserve">Antes de evaluar cualquier afirmación puntual, es necesario reconstruir la cadena completa de transformaciones por la que pasa un khipu físico hasta convertirse en una frase como “los khipus incas deben entenderse como un sistema de escritura sofisticado” (Conclusión, p.28-29). Cada flecha de la cadena implica una decisión humana, no solo un paso técnico neutral.</w:t>
      </w:r>
    </w:p>
    <w:p>
      <w:pPr>
        <w:pStyle w:val="Heading2"/>
        <w:spacing w:after="160" w:before="340"/>
      </w:pPr>
      <w:r>
        <w:t xml:space="preserve">1.1 Khipu físico → dato registrado en el OKR</w:t>
      </w:r>
    </w:p>
    <w:p>
      <w:pPr>
        <w:spacing w:after="160"/>
        <w:jc w:val="both"/>
      </w:pPr>
      <w:r>
        <w:rPr>
          <w:rFonts w:ascii="Calibri" w:cs="Calibri" w:eastAsia="Calibri" w:hAnsi="Calibri"/>
          <w:b/>
          <w:bCs/>
          <w:sz w:val="22"/>
          <w:szCs w:val="22"/>
        </w:rPr>
        <w:t xml:space="preserve">Qué entra: </w:t>
      </w:r>
      <w:r>
        <w:rPr>
          <w:rFonts w:ascii="Calibri" w:cs="Calibri" w:eastAsia="Calibri" w:hAnsi="Calibri"/>
          <w:sz w:val="22"/>
          <w:szCs w:val="22"/>
        </w:rPr>
        <w:t xml:space="preserve">Un objeto físico de fibra: cuerdas anudadas, con color, material, hilado, torsión y disposición espacial observables directamente sobre el artefacto (o sobre fotografías de él).</w:t>
      </w:r>
    </w:p>
    <w:p>
      <w:pPr>
        <w:spacing w:after="160"/>
        <w:jc w:val="both"/>
      </w:pPr>
      <w:r>
        <w:rPr>
          <w:rFonts w:ascii="Calibri" w:cs="Calibri" w:eastAsia="Calibri" w:hAnsi="Calibri"/>
          <w:b/>
          <w:bCs/>
          <w:sz w:val="22"/>
          <w:szCs w:val="22"/>
        </w:rPr>
        <w:t xml:space="preserve">Qué sale: </w:t>
      </w:r>
      <w:r>
        <w:rPr>
          <w:rFonts w:ascii="Calibri" w:cs="Calibri" w:eastAsia="Calibri" w:hAnsi="Calibri"/>
          <w:sz w:val="22"/>
          <w:szCs w:val="22"/>
        </w:rPr>
        <w:t xml:space="preserve">Un registro tabular: para cada cuerda, un código de color (KCCS), su posición ordinal, su pertenencia a un grupo de cuerdas, y —en otras columnas de la base, no usadas en este paper— su hilado, nudos y longitud.</w:t>
      </w:r>
    </w:p>
    <w:p>
      <w:pPr>
        <w:spacing w:after="160"/>
        <w:jc w:val="both"/>
      </w:pPr>
      <w:r>
        <w:rPr>
          <w:rFonts w:ascii="Calibri" w:cs="Calibri" w:eastAsia="Calibri" w:hAnsi="Calibri"/>
          <w:b/>
          <w:bCs/>
          <w:sz w:val="22"/>
          <w:szCs w:val="22"/>
        </w:rPr>
        <w:t xml:space="preserve">Qué se conserva: </w:t>
      </w:r>
      <w:r>
        <w:rPr>
          <w:rFonts w:ascii="Calibri" w:cs="Calibri" w:eastAsia="Calibri" w:hAnsi="Calibri"/>
          <w:sz w:val="22"/>
          <w:szCs w:val="22"/>
        </w:rPr>
        <w:t xml:space="preserve">El color observado, tal como fue percibido e interpretado por el catalogador en el momento del registro.</w:t>
      </w:r>
    </w:p>
    <w:p>
      <w:pPr>
        <w:spacing w:after="160"/>
        <w:jc w:val="both"/>
      </w:pPr>
      <w:r>
        <w:rPr>
          <w:rFonts w:ascii="Calibri" w:cs="Calibri" w:eastAsia="Calibri" w:hAnsi="Calibri"/>
          <w:b/>
          <w:bCs/>
          <w:sz w:val="22"/>
          <w:szCs w:val="22"/>
        </w:rPr>
        <w:t xml:space="preserve">Qué se pierde o se transforma: </w:t>
      </w:r>
      <w:r>
        <w:rPr>
          <w:rFonts w:ascii="Calibri" w:cs="Calibri" w:eastAsia="Calibri" w:hAnsi="Calibri"/>
          <w:sz w:val="22"/>
          <w:szCs w:val="22"/>
        </w:rPr>
        <w:t xml:space="preserve">Toda variación fina de matiz se colapsa al código KCCS más cercano (el propio paper señala que el código “B4” agrupa ocho códigos Ascher distintos de marrón oscuro, p.7). El color efectivamente “percibido” depende de iluminación, estado de conservación y del juicio del catalogador — el propio autor lo reconoce: “it is common for the ‘same’ color to be recorded slightly differently depending on the cord material, observer perception, lighting conditions, as well as taphonomic processes” (p.7).</w:t>
      </w:r>
    </w:p>
    <w:p>
      <w:pPr>
        <w:spacing w:after="160"/>
        <w:jc w:val="both"/>
      </w:pPr>
      <w:r>
        <w:rPr>
          <w:rFonts w:ascii="Calibri" w:cs="Calibri" w:eastAsia="Calibri" w:hAnsi="Calibri"/>
          <w:b/>
          <w:bCs/>
          <w:sz w:val="22"/>
          <w:szCs w:val="22"/>
        </w:rPr>
        <w:t xml:space="preserve">Decisiones del investigador en esta etapa: </w:t>
      </w:r>
      <w:r>
        <w:rPr>
          <w:rFonts w:ascii="Calibri" w:cs="Calibri" w:eastAsia="Calibri" w:hAnsi="Calibri"/>
          <w:sz w:val="22"/>
          <w:szCs w:val="22"/>
        </w:rPr>
        <w:t xml:space="preserve">Qué esquema de codificación de color usar (KCCS en vez de los códigos originales de Ascher, más finos); qué khipus incluir en el OKR en primer lugar (ver sección 15 de este documento); cómo resolver ambigüedades de dirección de lectura en khipus dañados o fragmentarios (una decisión documentada, para un caso concreto, en el Basel Khipu Report del corpus bibliográfico ya revisado, no en este paper).</w:t>
      </w:r>
    </w:p>
    <w:p>
      <w:pPr>
        <w:pStyle w:val="Heading2"/>
        <w:spacing w:after="160" w:before="340"/>
      </w:pPr>
      <w:r>
        <w:t xml:space="preserve">1.2 Dato registrado → representación computacional (texto)</w:t>
      </w:r>
    </w:p>
    <w:p>
      <w:pPr>
        <w:spacing w:after="160"/>
        <w:jc w:val="both"/>
      </w:pPr>
      <w:r>
        <w:rPr>
          <w:rFonts w:ascii="Calibri" w:cs="Calibri" w:eastAsia="Calibri" w:hAnsi="Calibri"/>
          <w:b/>
          <w:bCs/>
          <w:sz w:val="22"/>
          <w:szCs w:val="22"/>
        </w:rPr>
        <w:t xml:space="preserve">Qué entra: </w:t>
      </w:r>
      <w:r>
        <w:rPr>
          <w:rFonts w:ascii="Calibri" w:cs="Calibri" w:eastAsia="Calibri" w:hAnsi="Calibri"/>
          <w:sz w:val="22"/>
          <w:szCs w:val="22"/>
        </w:rPr>
        <w:t xml:space="preserve">La secuencia ordenada de códigos de color de cada grupo de cuerdas de cada khipu del OKR.</w:t>
      </w:r>
    </w:p>
    <w:p>
      <w:pPr>
        <w:spacing w:after="160"/>
        <w:jc w:val="both"/>
      </w:pPr>
      <w:r>
        <w:rPr>
          <w:rFonts w:ascii="Calibri" w:cs="Calibri" w:eastAsia="Calibri" w:hAnsi="Calibri"/>
          <w:b/>
          <w:bCs/>
          <w:sz w:val="22"/>
          <w:szCs w:val="22"/>
        </w:rPr>
        <w:t xml:space="preserve">Qué sale: </w:t>
      </w:r>
      <w:r>
        <w:rPr>
          <w:rFonts w:ascii="Calibri" w:cs="Calibri" w:eastAsia="Calibri" w:hAnsi="Calibri"/>
          <w:sz w:val="22"/>
          <w:szCs w:val="22"/>
        </w:rPr>
        <w:t xml:space="preserve">Una secuencia de “tokens” alfanuméricos separados por espacios, con un token especial “[SEP]” entre grupos de cuerdas — exactamente la misma estructura de entrada que usaría un modelo BERT para oraciones de un texto (p.7-8, Figura 1).</w:t>
      </w:r>
    </w:p>
    <w:p>
      <w:pPr>
        <w:spacing w:after="160"/>
        <w:jc w:val="both"/>
      </w:pPr>
      <w:r>
        <w:rPr>
          <w:rFonts w:ascii="Calibri" w:cs="Calibri" w:eastAsia="Calibri" w:hAnsi="Calibri"/>
          <w:b/>
          <w:bCs/>
          <w:sz w:val="22"/>
          <w:szCs w:val="22"/>
        </w:rPr>
        <w:t xml:space="preserve">Qué se conserva: </w:t>
      </w:r>
      <w:r>
        <w:rPr>
          <w:rFonts w:ascii="Calibri" w:cs="Calibri" w:eastAsia="Calibri" w:hAnsi="Calibri"/>
          <w:sz w:val="22"/>
          <w:szCs w:val="22"/>
        </w:rPr>
        <w:t xml:space="preserve">El orden de las cuerdas dentro de su grupo, y la pertenencia de cada cuerda a un grupo determinado.</w:t>
      </w:r>
    </w:p>
    <w:p>
      <w:pPr>
        <w:spacing w:after="160"/>
        <w:jc w:val="both"/>
      </w:pPr>
      <w:r>
        <w:rPr>
          <w:rFonts w:ascii="Calibri" w:cs="Calibri" w:eastAsia="Calibri" w:hAnsi="Calibri"/>
          <w:b/>
          <w:bCs/>
          <w:sz w:val="22"/>
          <w:szCs w:val="22"/>
        </w:rPr>
        <w:t xml:space="preserve">Qué se pierde: </w:t>
      </w:r>
      <w:r>
        <w:rPr>
          <w:rFonts w:ascii="Calibri" w:cs="Calibri" w:eastAsia="Calibri" w:hAnsi="Calibri"/>
          <w:sz w:val="22"/>
          <w:szCs w:val="22"/>
        </w:rPr>
        <w:t xml:space="preserve">Todo lo que no sea color: el valor numérico del nudo, el tipo de nudo, el hilado/torsión, la longitud, el material de la fibra, la posición jerárquica respecto a la cuerda primaria y los kaytes. El propio autor es consciente de esta pérdida y la nombra explícitamente como pregunta abierta al final del paper (p.27), pero el modelo tal como fue entrenado no la incorpora.</w:t>
      </w:r>
    </w:p>
    <w:p>
      <w:pPr>
        <w:spacing w:after="160"/>
        <w:jc w:val="both"/>
      </w:pPr>
      <w:r>
        <w:rPr>
          <w:rFonts w:ascii="Calibri" w:cs="Calibri" w:eastAsia="Calibri" w:hAnsi="Calibri"/>
          <w:b/>
          <w:bCs/>
          <w:sz w:val="22"/>
          <w:szCs w:val="22"/>
        </w:rPr>
        <w:t xml:space="preserve">Decisión central de esta etapa (la más importante de todo el pipeline): </w:t>
      </w:r>
      <w:r>
        <w:rPr>
          <w:rFonts w:ascii="Calibri" w:cs="Calibri" w:eastAsia="Calibri" w:hAnsi="Calibri"/>
          <w:sz w:val="22"/>
          <w:szCs w:val="22"/>
        </w:rPr>
        <w:t xml:space="preserve">Tratar cada grupo de cuerdas como el equivalente de una oración y cada color como el equivalente de una palabra: “in khipus, I presume that cord groupings have similar indigenous significance – i.e. they were grouped in a semantically meaningful fashion similar to a sentence and can also be productively used for mask-based modeling tasks” (p.7, énfasis añadido). Nótese que el propio autor usa el verbo “presume” (presumo/asumo) — es una decisión de representación explícitamente reconocida como un supuesto, no como un hecho demostrado en esta etapa del texto. Esta decisión se examina en profundidad en la sección 2 de este documento, porque todo lo que sigue en el paper depende de ella.</w:t>
      </w:r>
    </w:p>
    <w:p>
      <w:pPr>
        <w:pStyle w:val="Heading2"/>
        <w:spacing w:after="160" w:before="340"/>
      </w:pPr>
      <w:r>
        <w:t xml:space="preserve">1.3 Representación → features del modelo</w:t>
      </w:r>
    </w:p>
    <w:p>
      <w:pPr>
        <w:spacing w:after="160"/>
        <w:jc w:val="both"/>
      </w:pPr>
      <w:r>
        <w:rPr>
          <w:rFonts w:ascii="Calibri" w:cs="Calibri" w:eastAsia="Calibri" w:hAnsi="Calibri"/>
          <w:b/>
          <w:bCs/>
          <w:sz w:val="22"/>
          <w:szCs w:val="22"/>
        </w:rPr>
        <w:t xml:space="preserve">Qué entra: </w:t>
      </w:r>
      <w:r>
        <w:rPr>
          <w:rFonts w:ascii="Calibri" w:cs="Calibri" w:eastAsia="Calibri" w:hAnsi="Calibri"/>
          <w:sz w:val="22"/>
          <w:szCs w:val="22"/>
        </w:rPr>
        <w:t xml:space="preserve">La secuencia de tokens de color de todo el OKR (37,645 cuerdas de primer orden; 48,681 registros de color contando combinaciones; 6,592 grupos de cuerdas, p.6).</w:t>
      </w:r>
    </w:p>
    <w:p>
      <w:pPr>
        <w:spacing w:after="160"/>
        <w:jc w:val="both"/>
      </w:pPr>
      <w:r>
        <w:rPr>
          <w:rFonts w:ascii="Calibri" w:cs="Calibri" w:eastAsia="Calibri" w:hAnsi="Calibri"/>
          <w:b/>
          <w:bCs/>
          <w:sz w:val="22"/>
          <w:szCs w:val="22"/>
        </w:rPr>
        <w:t xml:space="preserve">Qué sale: </w:t>
      </w:r>
      <w:r>
        <w:rPr>
          <w:rFonts w:ascii="Calibri" w:cs="Calibri" w:eastAsia="Calibri" w:hAnsi="Calibri"/>
          <w:sz w:val="22"/>
          <w:szCs w:val="22"/>
        </w:rPr>
        <w:t xml:space="preserve">Para cada cuerda, tras el entrenamiento, un vector numérico de 3072 dimensiones (la concatenación de las últimas 4 capas de un encoder BERT de 12 capas, siguiendo a Devlin et al. 2019, p.8) que representa su “embedding contextual”.</w:t>
      </w:r>
    </w:p>
    <w:p>
      <w:pPr>
        <w:spacing w:after="160"/>
        <w:jc w:val="both"/>
      </w:pPr>
      <w:r>
        <w:rPr>
          <w:rFonts w:ascii="Calibri" w:cs="Calibri" w:eastAsia="Calibri" w:hAnsi="Calibri"/>
          <w:b/>
          <w:bCs/>
          <w:sz w:val="22"/>
          <w:szCs w:val="22"/>
        </w:rPr>
        <w:t xml:space="preserve">Qué se conserva: </w:t>
      </w:r>
      <w:r>
        <w:rPr>
          <w:rFonts w:ascii="Calibri" w:cs="Calibri" w:eastAsia="Calibri" w:hAnsi="Calibri"/>
          <w:sz w:val="22"/>
          <w:szCs w:val="22"/>
        </w:rPr>
        <w:t xml:space="preserve">La co-ocurrencia estadística entre un color y los colores que lo rodean en su grupo de cuerdas — es decir, exactamente lo que el modelo fue diseñado para aprender: contexto distribucional.</w:t>
      </w:r>
    </w:p>
    <w:p>
      <w:pPr>
        <w:spacing w:after="160"/>
        <w:jc w:val="both"/>
      </w:pPr>
      <w:r>
        <w:rPr>
          <w:rFonts w:ascii="Calibri" w:cs="Calibri" w:eastAsia="Calibri" w:hAnsi="Calibri"/>
          <w:b/>
          <w:bCs/>
          <w:sz w:val="22"/>
          <w:szCs w:val="22"/>
        </w:rPr>
        <w:t xml:space="preserve">Qué se pierde: </w:t>
      </w:r>
      <w:r>
        <w:rPr>
          <w:rFonts w:ascii="Calibri" w:cs="Calibri" w:eastAsia="Calibri" w:hAnsi="Calibri"/>
          <w:sz w:val="22"/>
          <w:szCs w:val="22"/>
        </w:rPr>
        <w:t xml:space="preserve">Cualquier relación que no sea de co-ocurrencia posicional dentro del mismo grupo de cuerdas — por ejemplo, relaciones entre grupos de cuerdas distantes en el mismo khipu que no comparten “oración”, o relaciones entre el color y el valor numérico registrado por la misma cuerda (ver sección 5 de este documento).</w:t>
      </w:r>
    </w:p>
    <w:p>
      <w:pPr>
        <w:spacing w:after="160"/>
        <w:jc w:val="both"/>
      </w:pPr>
      <w:r>
        <w:rPr>
          <w:rFonts w:ascii="Calibri" w:cs="Calibri" w:eastAsia="Calibri" w:hAnsi="Calibri"/>
          <w:b/>
          <w:bCs/>
          <w:sz w:val="22"/>
          <w:szCs w:val="22"/>
        </w:rPr>
        <w:t xml:space="preserve">Decisión del investigador: </w:t>
      </w:r>
      <w:r>
        <w:rPr>
          <w:rFonts w:ascii="Calibri" w:cs="Calibri" w:eastAsia="Calibri" w:hAnsi="Calibri"/>
          <w:sz w:val="22"/>
          <w:szCs w:val="22"/>
        </w:rPr>
        <w:t xml:space="preserve">Enmascarar aleatoriamente el 15% de los colores y entrenar el modelo a predecirlos a partir del contexto (Masked Language Modeling, p.8); omitir la tarea de “next sentence prediction” del BERT original, siguiendo el precedente de RoBERTa (Liu et al. 2019, citado p.8) — una decisión metodológicamente razonable y explícitamente justificada por el autor con literatura de NLP.</w:t>
      </w:r>
    </w:p>
    <w:p>
      <w:pPr>
        <w:pStyle w:val="Heading2"/>
        <w:spacing w:after="160" w:before="340"/>
      </w:pPr>
      <w:r>
        <w:t xml:space="preserve">1.4 Features → algoritmo → resultados numéricos</w:t>
      </w:r>
    </w:p>
    <w:p>
      <w:pPr>
        <w:spacing w:after="160"/>
        <w:jc w:val="both"/>
      </w:pPr>
      <w:r>
        <w:rPr>
          <w:rFonts w:ascii="Calibri" w:cs="Calibri" w:eastAsia="Calibri" w:hAnsi="Calibri"/>
          <w:b/>
          <w:bCs/>
          <w:sz w:val="22"/>
          <w:szCs w:val="22"/>
        </w:rPr>
        <w:t xml:space="preserve">Qué entra: </w:t>
      </w:r>
      <w:r>
        <w:rPr>
          <w:rFonts w:ascii="Calibri" w:cs="Calibri" w:eastAsia="Calibri" w:hAnsi="Calibri"/>
          <w:sz w:val="22"/>
          <w:szCs w:val="22"/>
        </w:rPr>
        <w:t xml:space="preserve">Los embeddings de 3072 dimensiones de las 48,681 instancias de color.</w:t>
      </w:r>
    </w:p>
    <w:p>
      <w:pPr>
        <w:spacing w:after="160"/>
        <w:jc w:val="both"/>
      </w:pPr>
      <w:r>
        <w:rPr>
          <w:rFonts w:ascii="Calibri" w:cs="Calibri" w:eastAsia="Calibri" w:hAnsi="Calibri"/>
          <w:b/>
          <w:bCs/>
          <w:sz w:val="22"/>
          <w:szCs w:val="22"/>
        </w:rPr>
        <w:t xml:space="preserve">Qué sale: </w:t>
      </w:r>
      <w:r>
        <w:rPr>
          <w:rFonts w:ascii="Calibri" w:cs="Calibri" w:eastAsia="Calibri" w:hAnsi="Calibri"/>
          <w:sz w:val="22"/>
          <w:szCs w:val="22"/>
        </w:rPr>
        <w:t xml:space="preserve">(a) una reducción a 100 dimensiones vía UMAP; (b) agrupamientos discretos (clusters) vía HDBSCAN, con dos umbrales de tamaño mínimo (250 y 25, p.8-9); (c) matrices de similitud coseno entre pares de embeddings promedio por color (Figura 5) y por cuerda individual (histogramas, Figuras 6-9).</w:t>
      </w:r>
    </w:p>
    <w:p>
      <w:pPr>
        <w:spacing w:after="160"/>
        <w:jc w:val="both"/>
      </w:pPr>
      <w:r>
        <w:rPr>
          <w:rFonts w:ascii="Calibri" w:cs="Calibri" w:eastAsia="Calibri" w:hAnsi="Calibri"/>
          <w:b/>
          <w:bCs/>
          <w:sz w:val="22"/>
          <w:szCs w:val="22"/>
        </w:rPr>
        <w:t xml:space="preserve">Qué se conserva: </w:t>
      </w:r>
      <w:r>
        <w:rPr>
          <w:rFonts w:ascii="Calibri" w:cs="Calibri" w:eastAsia="Calibri" w:hAnsi="Calibri"/>
          <w:sz w:val="22"/>
          <w:szCs w:val="22"/>
        </w:rPr>
        <w:t xml:space="preserve">Estructura relativa: qué tan cerca o lejos está un color de otro en el espacio de embeddings aprendido.</w:t>
      </w:r>
    </w:p>
    <w:p>
      <w:pPr>
        <w:spacing w:after="160"/>
        <w:jc w:val="both"/>
      </w:pPr>
      <w:r>
        <w:rPr>
          <w:rFonts w:ascii="Calibri" w:cs="Calibri" w:eastAsia="Calibri" w:hAnsi="Calibri"/>
          <w:b/>
          <w:bCs/>
          <w:sz w:val="22"/>
          <w:szCs w:val="22"/>
        </w:rPr>
        <w:t xml:space="preserve">Qué se pierde/introduce: </w:t>
      </w:r>
      <w:r>
        <w:rPr>
          <w:rFonts w:ascii="Calibri" w:cs="Calibri" w:eastAsia="Calibri" w:hAnsi="Calibri"/>
          <w:sz w:val="22"/>
          <w:szCs w:val="22"/>
        </w:rPr>
        <w:t xml:space="preserve">UMAP y HDBSCAN son ellos mismos algoritmos con hiperparámetros (tamaño mínimo de clúster, métrica de distancia, número de vecinos en UMAP) que determinan directamente cuántos clusters aparecen y qué tan “nítidos” se ven. El paper es transparente sobre dos de estos hiperparámetros (250 y 25), pero no discute una prueba de sensibilidad sistemática frente a otros valores (ver sección 18 de este documento, “experimentos que faltan”).</w:t>
      </w:r>
    </w:p>
    <w:p>
      <w:pPr>
        <w:spacing w:after="160"/>
        <w:jc w:val="both"/>
      </w:pPr>
      <w:r>
        <w:rPr>
          <w:rFonts w:ascii="Calibri" w:cs="Calibri" w:eastAsia="Calibri" w:hAnsi="Calibri"/>
          <w:b/>
          <w:bCs/>
          <w:sz w:val="22"/>
          <w:szCs w:val="22"/>
        </w:rPr>
        <w:t xml:space="preserve">Decisión del investigador: </w:t>
      </w:r>
      <w:r>
        <w:rPr>
          <w:rFonts w:ascii="Calibri" w:cs="Calibri" w:eastAsia="Calibri" w:hAnsi="Calibri"/>
          <w:sz w:val="22"/>
          <w:szCs w:val="22"/>
        </w:rPr>
        <w:t xml:space="preserve">Interpretar “pertenecer al mismo cluster” como “ser semánticamente similar o intercambiable” y “pertenecer a clusters distintos” como “ocupar dominios semánticos distintos” (p.9: “Color codes that are clustered together may then be interpreted as meaningfully similar to one another”). Nótese el verbo “may be interpreted” (pueden interpretarse) — el propio autor marca este paso como una interpretación, no como una equivalencia automática. Esta es precisamente la etapa donde, según este documento, ocurre el salto más importante de dato observable a interpretación (ver sección 7).</w:t>
      </w:r>
    </w:p>
    <w:p>
      <w:pPr>
        <w:pStyle w:val="Heading2"/>
        <w:spacing w:after="160" w:before="340"/>
      </w:pPr>
      <w:r>
        <w:t xml:space="preserve">1.5 Resultados → interpretación → conclusión</w:t>
      </w:r>
    </w:p>
    <w:p>
      <w:pPr>
        <w:spacing w:after="160"/>
        <w:jc w:val="both"/>
      </w:pPr>
      <w:r>
        <w:rPr>
          <w:rFonts w:ascii="Calibri" w:cs="Calibri" w:eastAsia="Calibri" w:hAnsi="Calibri"/>
          <w:b/>
          <w:bCs/>
          <w:sz w:val="22"/>
          <w:szCs w:val="22"/>
        </w:rPr>
        <w:t xml:space="preserve">Qué entra: </w:t>
      </w:r>
      <w:r>
        <w:rPr>
          <w:rFonts w:ascii="Calibri" w:cs="Calibri" w:eastAsia="Calibri" w:hAnsi="Calibri"/>
          <w:sz w:val="22"/>
          <w:szCs w:val="22"/>
        </w:rPr>
        <w:t xml:space="preserve">Los patrones cuantitativos: 79% de cuerdas en 30 clusters; tres “conjuntos” de color (81%/15%/4%); 87.2% de “frases” en 127 clusters; 88.0% de “tópicos” en 20 clusters; 75% de correlación con las varas envueltas de Inkawasi.</w:t>
      </w:r>
    </w:p>
    <w:p>
      <w:pPr>
        <w:spacing w:after="160"/>
        <w:jc w:val="both"/>
      </w:pPr>
      <w:r>
        <w:rPr>
          <w:rFonts w:ascii="Calibri" w:cs="Calibri" w:eastAsia="Calibri" w:hAnsi="Calibri"/>
          <w:b/>
          <w:bCs/>
          <w:sz w:val="22"/>
          <w:szCs w:val="22"/>
        </w:rPr>
        <w:t xml:space="preserve">Qué sale: </w:t>
      </w:r>
      <w:r>
        <w:rPr>
          <w:rFonts w:ascii="Calibri" w:cs="Calibri" w:eastAsia="Calibri" w:hAnsi="Calibri"/>
          <w:sz w:val="22"/>
          <w:szCs w:val="22"/>
        </w:rPr>
        <w:t xml:space="preserve">Afirmaciones en lenguaje natural: “coherent system of color signs”, “relationally-opposed semantic domains”, “sophisticated writing system akin to other linguistic media” (Abstract, p.1; Conclusión, p.28-29).</w:t>
      </w:r>
    </w:p>
    <w:p>
      <w:pPr>
        <w:spacing w:after="160"/>
        <w:jc w:val="both"/>
      </w:pPr>
      <w:r>
        <w:rPr>
          <w:rFonts w:ascii="Calibri" w:cs="Calibri" w:eastAsia="Calibri" w:hAnsi="Calibri"/>
          <w:b/>
          <w:bCs/>
          <w:sz w:val="22"/>
          <w:szCs w:val="22"/>
        </w:rPr>
        <w:t xml:space="preserve">Decisión del investigador: </w:t>
      </w:r>
      <w:r>
        <w:rPr>
          <w:rFonts w:ascii="Calibri" w:cs="Calibri" w:eastAsia="Calibri" w:hAnsi="Calibri"/>
          <w:sz w:val="22"/>
          <w:szCs w:val="22"/>
        </w:rPr>
        <w:t xml:space="preserve">Elegir qué marco conceptual (semiótica peirceana, lingüística estructural, la propia teoría de oposiciones relacionales del autor en su disertación de 2019) usar para narrar los patrones numéricos como una historia sobre significado. Esta es la etapa donde el análisis de esta evaluación se concentra con mayor intensidad (secciones 10, 11 y 25).</w:t>
      </w:r>
    </w:p>
    <w:p>
      <w:pPr>
        <w:pStyle w:val="Heading2"/>
        <w:spacing w:after="160" w:before="340"/>
      </w:pPr>
      <w:r>
        <w:t xml:space="preserve">1.6 Síntesis del pipeline</w:t>
      </w:r>
    </w:p>
    <w:p>
      <w:pPr>
        <w:spacing w:after="160"/>
        <w:jc w:val="both"/>
      </w:pPr>
      <w:r>
        <w:rPr>
          <w:rFonts w:ascii="Calibri" w:cs="Calibri" w:eastAsia="Calibri" w:hAnsi="Calibri"/>
          <w:sz w:val="22"/>
          <w:szCs w:val="22"/>
        </w:rPr>
        <w:t xml:space="preserve">El punto central que se debe llevar a todas las secciones siguientes es este: el paper produce, con rigor técnico razonable, evidencia sólida de un nivel — regularidad estadística distribucional en un espacio de embeddings — y luego construye, sobre esa evidencia, afirmaciones de un nivel distinto y más alto — significado semántico, sistema de escritura, convención imperial. La pregunta que atraviesa este documento no es si el nivel estadístico está bien hecho (en general, sí, con matices que se detallan más abajo), sino si el salto hacia el nivel semántico/histórico está tan bien sustentado como el lenguaje de las conclusiones sugiere.</w:t>
      </w:r>
    </w:p>
    <w:p>
      <w:pPr>
        <w:pStyle w:val="Heading1"/>
        <w:pageBreakBefore/>
        <w:spacing w:after="240" w:before="480"/>
      </w:pPr>
      <w:r>
        <w:t xml:space="preserve">2. Pregunta crítica 1: ¿por qué representar los khipus como texto?</w:t>
      </w:r>
    </w:p>
    <w:p>
      <w:pPr>
        <w:pStyle w:val="Heading2"/>
        <w:spacing w:after="160" w:before="340"/>
      </w:pPr>
      <w:r>
        <w:t xml:space="preserve">2.1 Qué hace Clindaniel exactamente</w:t>
      </w:r>
    </w:p>
    <w:p>
      <w:pPr>
        <w:spacing w:after="160"/>
        <w:jc w:val="both"/>
      </w:pPr>
      <w:r>
        <w:rPr>
          <w:rFonts w:ascii="Calibri" w:cs="Calibri" w:eastAsia="Calibri" w:hAnsi="Calibri"/>
          <w:sz w:val="22"/>
          <w:szCs w:val="22"/>
        </w:rPr>
        <w:t xml:space="preserve">El paper traduce la estructura del khipu a la estructura de entrada estándar de un modelo de lenguaje tipo BERT mediante tres equivalencias explícitas (p.7-8, Figura 1):</w:t>
      </w:r>
    </w:p>
    <w:p>
      <w:pPr>
        <w:pStyle w:val="ListParagraph"/>
        <w:numPr>
          <w:ilvl w:val="0"/>
          <w:numId w:val="1"/>
        </w:numPr>
        <w:spacing w:after="90"/>
      </w:pPr>
      <w:r>
        <w:rPr>
          <w:rFonts w:ascii="Calibri" w:cs="Calibri" w:eastAsia="Calibri" w:hAnsi="Calibri"/>
          <w:sz w:val="22"/>
          <w:szCs w:val="22"/>
        </w:rPr>
        <w:t xml:space="preserve">Un grupo de cuerdas (cord group) ≈ una oración.</w:t>
      </w:r>
    </w:p>
    <w:p>
      <w:pPr>
        <w:pStyle w:val="ListParagraph"/>
        <w:numPr>
          <w:ilvl w:val="0"/>
          <w:numId w:val="1"/>
        </w:numPr>
        <w:spacing w:after="90"/>
      </w:pPr>
      <w:r>
        <w:rPr>
          <w:rFonts w:ascii="Calibri" w:cs="Calibri" w:eastAsia="Calibri" w:hAnsi="Calibri"/>
          <w:sz w:val="22"/>
          <w:szCs w:val="22"/>
        </w:rPr>
        <w:t xml:space="preserve">Un color de cuerda ≈ una palabra.</w:t>
      </w:r>
    </w:p>
    <w:p>
      <w:pPr>
        <w:pStyle w:val="ListParagraph"/>
        <w:numPr>
          <w:ilvl w:val="0"/>
          <w:numId w:val="1"/>
        </w:numPr>
        <w:spacing w:after="90"/>
      </w:pPr>
      <w:r>
        <w:rPr>
          <w:rFonts w:ascii="Calibri" w:cs="Calibri" w:eastAsia="Calibri" w:hAnsi="Calibri"/>
          <w:sz w:val="22"/>
          <w:szCs w:val="22"/>
        </w:rPr>
        <w:t xml:space="preserve">El límite entre grupos de cuerdas ≈ el token “[SEP]” que separa oraciones en el entrenamiento estándar de BERT.</w:t>
      </w:r>
    </w:p>
    <w:p>
      <w:pPr>
        <w:spacing w:after="160"/>
        <w:jc w:val="both"/>
      </w:pPr>
      <w:r>
        <w:rPr>
          <w:rFonts w:ascii="Calibri" w:cs="Calibri" w:eastAsia="Calibri" w:hAnsi="Calibri"/>
          <w:sz w:val="22"/>
          <w:szCs w:val="22"/>
        </w:rPr>
        <w:t xml:space="preserve">Sobre esa base, aplica literalmente la técnica de “Masked Language Modeling” tal como se usa para texto en lenguaje natural: oculta el 15% de los colores y entrena al modelo a predecirlos a partir de los colores vecinos (p.8).</w:t>
      </w:r>
    </w:p>
    <w:p>
      <w:pPr>
        <w:pStyle w:val="Heading2"/>
        <w:spacing w:after="160" w:before="340"/>
      </w:pPr>
      <w:r>
        <w:t xml:space="preserve">2.2 Qué justificación proporciona el autor</w:t>
      </w:r>
    </w:p>
    <w:p>
      <w:pPr>
        <w:spacing w:after="160"/>
        <w:jc w:val="both"/>
      </w:pPr>
      <w:r>
        <w:rPr>
          <w:rFonts w:ascii="Calibri" w:cs="Calibri" w:eastAsia="Calibri" w:hAnsi="Calibri"/>
          <w:sz w:val="22"/>
          <w:szCs w:val="22"/>
        </w:rPr>
        <w:t xml:space="preserve">La única justificación textual explícita de esta equivalencia es una sola oración, ya citada en la sección 1.2 de este documento:</w:t>
      </w:r>
    </w:p>
    <w:p>
      <w:pPr>
        <w:pBdr>
          <w:left w:val="single" w:color="999999" w:sz="12" w:space="8"/>
        </w:pBdr>
        <w:spacing w:after="120"/>
        <w:ind w:left="480"/>
      </w:pPr>
      <w:r>
        <w:rPr>
          <w:rFonts w:ascii="Calibri" w:cs="Calibri" w:eastAsia="Calibri" w:hAnsi="Calibri"/>
          <w:i/>
          <w:iCs/>
          <w:sz w:val="20"/>
          <w:szCs w:val="20"/>
        </w:rPr>
        <w:t xml:space="preserve">“in khipus, I presume that cord groupings have similar indigenous significance – i.e. they were grouped in a semantically meaningful fashion similar to a sentence and can also be productively used for mask-based modeling tasks (p.7).”</w:t>
      </w:r>
    </w:p>
    <w:p>
      <w:pPr>
        <w:spacing w:after="160"/>
        <w:jc w:val="both"/>
      </w:pPr>
      <w:r>
        <w:rPr>
          <w:rFonts w:ascii="Calibri" w:cs="Calibri" w:eastAsia="Calibri" w:hAnsi="Calibri"/>
          <w:sz w:val="22"/>
          <w:szCs w:val="22"/>
        </w:rPr>
        <w:t xml:space="preserve">No se cita, en este punto del texto, evidencia arqueológica, lingüística o histórica independiente de que los grupos de cuerdas hayan funcionado como unidades de significado equivalentes a una oración. La justificación es, en el momento en que se introduce, una premisa de trabajo (“presumo”), no una conclusión de otra sección del paper ni una cita a literatura previa que lo demuestre directamente para khipus.</w:t>
      </w:r>
    </w:p>
    <w:p>
      <w:pPr>
        <w:spacing w:after="160"/>
        <w:jc w:val="both"/>
      </w:pPr>
      <w:r>
        <w:rPr>
          <w:rFonts w:ascii="Calibri" w:cs="Calibri" w:eastAsia="Calibri" w:hAnsi="Calibri"/>
          <w:sz w:val="22"/>
          <w:szCs w:val="22"/>
        </w:rPr>
        <w:t xml:space="preserve">Es importante ser justos con el paper en dos sentidos. Primero, el resto del paper sí aporta evidencia indirecta compatible con esta premisa (el hallazgo de que las “frases” de color se repiten de forma consistente entre khipus y procedencias, sección de Resultados, p.22). Segundo, la premisa no es arbitraria: se apoya implícitamente en literatura previa sobre khipus que documenta que los grupos de cuerdas contiguas sí funcionan como unidades con cohesión semántica en al menos algunos casos etnográficos y arqueológicos bien documentados (Hyland 2016 sobre Anchucaya; Clindaniel 2019 sobre Inkawasi, ambos citados en la introducción del propio paper, p.2-3). Pero esa literatura previa establece cohesión semántica de grupo de cuerdas en casos puntuales (unos pocos khipus, unos pocos sitios) — no establece que la unidad “grupo de cuerdas” sea, en general y en todo el corpus de 629 khipus, funcionalmente equivalente a una oración lingüística en el sentido gramatical fuerte que la metáfora importa (sujeto-predicado, composicionalidad, sintaxis).</w:t>
      </w:r>
    </w:p>
    <w:p>
      <w:pPr>
        <w:pStyle w:val="Heading2"/>
        <w:spacing w:after="160" w:before="340"/>
      </w:pPr>
      <w:r>
        <w:t xml:space="preserve">2.3 Cuestionando la decisión: dos representaciones conceptuales posibles, no una</w:t>
      </w:r>
    </w:p>
    <w:p>
      <w:pPr>
        <w:spacing w:after="160"/>
        <w:jc w:val="both"/>
      </w:pPr>
      <w:r>
        <w:rPr>
          <w:rFonts w:ascii="Calibri" w:cs="Calibri" w:eastAsia="Calibri" w:hAnsi="Calibri"/>
          <w:sz w:val="22"/>
          <w:szCs w:val="22"/>
        </w:rPr>
        <w:t xml:space="preserve">La pregunta que el paper no aborda explícitamente es si existía una representación conceptual alternativa igualmente plausible, y qué pasaría con los resultados bajo esa alternativa. Se pueden formular, sin afirmar que ninguna sea la correcta, al menos dos marcos:</w:t>
      </w:r>
    </w:p>
    <w:p>
      <w:pPr>
        <w:spacing w:after="160"/>
        <w:jc w:val="both"/>
      </w:pPr>
      <w:r>
        <w:rPr>
          <w:rFonts w:ascii="Calibri" w:cs="Calibri" w:eastAsia="Calibri" w:hAnsi="Calibri"/>
          <w:b/>
          <w:bCs/>
          <w:sz w:val="22"/>
          <w:szCs w:val="22"/>
        </w:rPr>
        <w:t xml:space="preserve">Marco A (el que usa el paper): </w:t>
      </w:r>
      <w:r>
        <w:rPr>
          <w:rFonts w:ascii="Calibri" w:cs="Calibri" w:eastAsia="Calibri" w:hAnsi="Calibri"/>
          <w:sz w:val="22"/>
          <w:szCs w:val="22"/>
        </w:rPr>
        <w:t xml:space="preserve">khipu → texto → oración (grupo de cuerdas) → palabra (color). Este marco importa, junto con la analogía, una carga teórica fuerte: que el sistema de signos del khipu funciona composicionalmente como el lenguaje natural, con unidades discretas (palabras/colores) que se combinan en unidades mayores (oraciones/grupos) siguiendo reglas distribucionales.</w:t>
      </w:r>
    </w:p>
    <w:p>
      <w:pPr>
        <w:spacing w:after="160"/>
        <w:jc w:val="both"/>
      </w:pPr>
      <w:r>
        <w:rPr>
          <w:rFonts w:ascii="Calibri" w:cs="Calibri" w:eastAsia="Calibri" w:hAnsi="Calibri"/>
          <w:b/>
          <w:bCs/>
          <w:sz w:val="22"/>
          <w:szCs w:val="22"/>
        </w:rPr>
        <w:t xml:space="preserve">Marco B (alternativa no explorada por el paper): </w:t>
      </w:r>
      <w:r>
        <w:rPr>
          <w:rFonts w:ascii="Calibri" w:cs="Calibri" w:eastAsia="Calibri" w:hAnsi="Calibri"/>
          <w:sz w:val="22"/>
          <w:szCs w:val="22"/>
        </w:rPr>
        <w:t xml:space="preserve">khipu → estructura de registro administrativo → unidades numérico-categóricas → relaciones (aritméticas, jerárquicas, posicionales). Bajo este marco, un grupo de cuerdas no es una “oración” sino, por ejemplo, una fila de una tabla contable, y el color no es una “palabra” sino un atributo categórico de esa fila (comparable, por ejemplo, a un código de color en una hoja de cálculo que distingue tipos de gasto). Este marco tiene respaldo directo en la propia literatura de khipus ya revisada en este corpus: Medrano y Khosla (2024) analizan el mismo tipo de estructuras (grupos de cuerdas, colores) exclusivamente como componentes de relaciones aritméticas (sumas, restas, sumandos) sin apelar en ningún momento a una analogía lingüística; y el propio Clindaniel, en su disertación de 2019, describe el caso más citado de significado de color (crédito/débito/resultado en UR267A/UR255) en términos explícitamente aritméticos, no gramaticales en sentido estricto.</w:t>
      </w:r>
    </w:p>
    <w:p>
      <w:pPr>
        <w:pStyle w:val="Heading2"/>
        <w:spacing w:after="160" w:before="340"/>
      </w:pPr>
      <w:r>
        <w:t xml:space="preserve">2.4 ¿Qué evidencia se necesitaría para decidir entre A y B?</w:t>
      </w:r>
    </w:p>
    <w:p>
      <w:pPr>
        <w:spacing w:after="160"/>
        <w:jc w:val="both"/>
      </w:pPr>
      <w:r>
        <w:rPr>
          <w:rFonts w:ascii="Calibri" w:cs="Calibri" w:eastAsia="Calibri" w:hAnsi="Calibri"/>
          <w:sz w:val="22"/>
          <w:szCs w:val="22"/>
        </w:rPr>
        <w:t xml:space="preserve">El paper no realiza —ni podría realizar solo con este diseño— un experimento que distinga entre estos dos marcos. Un test posible (no realizado en el paper, propuesto aquí como pregunta, no como defecto) sería comparar el desempeño y los clusters resultantes de un modelo entrenado bajo el Marco A (BERT sobre secuencias de color, tal como se hizo) contra un modelo entrenado bajo un marco puramente relacional/numérico (por ejemplo, un modelo que prediga el color de una cuerda a partir de su rol aritmético — sumando, suma, resultado— y de su magnitud numérica, en vez de a partir de los colores vecinos). Si ambos modelos producen agrupamientos igualmente “nítidos” y consistentes, eso sugeriría que la estructura distribucional encontrada no depende exclusivamente del marco lingüístico elegido, sino que podría emerger también de un marco puramente contable — lo cual debilitaría, no la existencia de estructura, sino específicamente la interpretación de esa estructura como evidencia de que el khipu funciona “como un idioma”.</w:t>
      </w:r>
    </w:p>
    <w:p>
      <w:pPr>
        <w:spacing w:after="160"/>
        <w:jc w:val="both"/>
      </w:pPr>
      <w:r>
        <w:rPr>
          <w:rFonts w:ascii="Calibri" w:cs="Calibri" w:eastAsia="Calibri" w:hAnsi="Calibri"/>
          <w:sz w:val="22"/>
          <w:szCs w:val="22"/>
        </w:rPr>
        <w:t xml:space="preserve">Clasificación de esta crítica: Categoría A (el propio texto reconoce explícitamente la premisa como un “presume”, sin cita de validación directa en ese punto) reforzada por Categoría B (la literatura externa sobre khipus, en particular Medrano y Khosla 2024, describe con éxito el mismo tipo de fenómenos sin recurrir al marco lingüístico, lo que sugiere que el marco textual no es la única lente productiva disponible).</w:t>
      </w:r>
    </w:p>
    <w:p>
      <w:pPr>
        <w:pStyle w:val="Heading2"/>
        <w:spacing w:after="160" w:before="340"/>
      </w:pPr>
      <w:r>
        <w:t xml:space="preserve">2.5 Lo que esta crítica NO establece</w:t>
      </w:r>
    </w:p>
    <w:p>
      <w:pPr>
        <w:spacing w:after="160"/>
        <w:jc w:val="both"/>
      </w:pPr>
      <w:r>
        <w:rPr>
          <w:rFonts w:ascii="Calibri" w:cs="Calibri" w:eastAsia="Calibri" w:hAnsi="Calibri"/>
          <w:sz w:val="22"/>
          <w:szCs w:val="22"/>
        </w:rPr>
        <w:t xml:space="preserve">Esta crítica no implica que el marco textual sea incorrecto, ni que el paper debiera haber usado otro marco. La analogía con el lenguaje es una herramienta metodológica razonable —tomada de un campo (Word Sense Disambiguation en NLP) con técnicas maduras y bien validadas para el problema general de “un mismo símbolo, usado en contextos distintos, ¿tiene un único significado o varios?”—, y el propio paper obtiene, bajo ese marco, resultados internamente consistentes y parcialmente corroborados por evidencia material independiente (las varas envueltas de Inkawasi, sección 16 de este documento). El punto crítico es más preciso: la elección del marco textual no está demostrada por el paper como la representación correcta de la estructura real del khipu — es un supuesto de trabajo productivo, y las conclusiones que dependen específicamente de la metáfora lingüística (p.ej. “sistema de escritura”, sección 10) deberían leerse con ese supuesto en mente, no como si estuviera demostrado de forma independiente.</w:t>
      </w:r>
    </w:p>
    <w:p>
      <w:pPr>
        <w:pStyle w:val="Heading1"/>
        <w:pageBreakBefore/>
        <w:spacing w:after="240" w:before="480"/>
      </w:pPr>
      <w:r>
        <w:t xml:space="preserve">3. Sesgo introducido por la representación (representation bias)</w:t>
      </w:r>
    </w:p>
    <w:p>
      <w:pPr>
        <w:spacing w:after="160"/>
        <w:jc w:val="both"/>
      </w:pPr>
      <w:r>
        <w:rPr>
          <w:rFonts w:ascii="Calibri" w:cs="Calibri" w:eastAsia="Calibri" w:hAnsi="Calibri"/>
          <w:sz w:val="22"/>
          <w:szCs w:val="22"/>
        </w:rPr>
        <w:t xml:space="preserve">Pregunta central de esta sección: ¿el algoritmo descubre propiedades de los khipus, o propiedades de la representación (KCCS + estructura tipo-texto) que los investigadores construyeron a partir de los khipus?</w:t>
      </w:r>
    </w:p>
    <w:p>
      <w:pPr>
        <w:pStyle w:val="Heading2"/>
        <w:spacing w:after="160" w:before="340"/>
      </w:pPr>
      <w:r>
        <w:t xml:space="preserve">3.1 Tabla de transformaciones y qué información conservan, pierden o introducen</w:t>
      </w:r>
    </w:p>
    <w:p>
      <w:pPr>
        <w:spacing w:after="160"/>
        <w:jc w:val="both"/>
      </w:pPr>
      <w:r>
        <w:rPr>
          <w:rFonts w:ascii="Calibri" w:cs="Calibri" w:eastAsia="Calibri" w:hAnsi="Calibri"/>
          <w:b/>
          <w:bCs/>
          <w:sz w:val="22"/>
          <w:szCs w:val="22"/>
        </w:rPr>
        <w:t xml:space="preserve">Transformación 1 — Color observado → código KCCS: </w:t>
      </w:r>
      <w:r>
        <w:rPr>
          <w:rFonts w:ascii="Calibri" w:cs="Calibri" w:eastAsia="Calibri" w:hAnsi="Calibri"/>
          <w:sz w:val="22"/>
          <w:szCs w:val="22"/>
        </w:rPr>
        <w:t xml:space="preserve">Conserva: la categoría de color agregada (hue+shade). Pierde: variación fina de matiz (hasta 9 códigos Ascher distintos colapsados en un solo código KCCS, p.7); también pierde, en el mismo paso, cualquier distinción que el ojo/instrumento del catalogador no haya registrado (el propio paper reconoce variabilidad por “observer perception”, p.7). Introduce: una categorización que refleja las decisiones de agregación de Carrie Brezine al diseñar el KCCS (Urton y Brezine 2011, citado p.7) — una decisión de un investigador, tomada por razones de practicidad computacional, no una categoría nativa documentada como usada por los khipukamayuqs incas.</w:t>
      </w:r>
    </w:p>
    <w:p>
      <w:pPr>
        <w:spacing w:after="160"/>
        <w:jc w:val="both"/>
      </w:pPr>
      <w:r>
        <w:rPr>
          <w:rFonts w:ascii="Calibri" w:cs="Calibri" w:eastAsia="Calibri" w:hAnsi="Calibri"/>
          <w:b/>
          <w:bCs/>
          <w:sz w:val="22"/>
          <w:szCs w:val="22"/>
        </w:rPr>
        <w:t xml:space="preserve">Transformación 2 — Secuencia de cuerdas → secuencia de tokens tipo texto: </w:t>
      </w:r>
      <w:r>
        <w:rPr>
          <w:rFonts w:ascii="Calibri" w:cs="Calibri" w:eastAsia="Calibri" w:hAnsi="Calibri"/>
          <w:sz w:val="22"/>
          <w:szCs w:val="22"/>
        </w:rPr>
        <w:t xml:space="preserve">Conserva: orden y agrupamiento. Pierde: toda variable no cromática (número, nudo, hilado, material, longitud, jerarquía estructural). Introduce: la estructura sintáctica implícita de “oración” (ver sección 2), incluyendo el token “[SEP]”, que es una convención de ingeniería de NLP sin correlato demostrado en la práctica registrada de los khipukamayuqs.</w:t>
      </w:r>
    </w:p>
    <w:p>
      <w:pPr>
        <w:spacing w:after="160"/>
        <w:jc w:val="both"/>
      </w:pPr>
      <w:r>
        <w:rPr>
          <w:rFonts w:ascii="Calibri" w:cs="Calibri" w:eastAsia="Calibri" w:hAnsi="Calibri"/>
          <w:b/>
          <w:bCs/>
          <w:sz w:val="22"/>
          <w:szCs w:val="22"/>
        </w:rPr>
        <w:t xml:space="preserve">Transformación 3 — Secuencia de tokens → embeddings BERT: </w:t>
      </w:r>
      <w:r>
        <w:rPr>
          <w:rFonts w:ascii="Calibri" w:cs="Calibri" w:eastAsia="Calibri" w:hAnsi="Calibri"/>
          <w:sz w:val="22"/>
          <w:szCs w:val="22"/>
        </w:rPr>
        <w:t xml:space="preserve">Conserva: co-ocurrencia posicional dentro de una ventana de contexto igual al grupo de cuerdas. Introduce: toda la arquitectura y los sesgos inductivos propios de BERT (mecanismos de atención, codificación posicional, tamaño de capa) — decisiones de ingeniería de modelos de lenguaje que fueron diseñadas y validadas para capturar regularidades del lenguaje natural humano, no verificadas independientemente como adecuadas para capturar la estructura de un sistema de signos no lingüístico o parcialmente lingüístico como el khipu.</w:t>
      </w:r>
    </w:p>
    <w:p>
      <w:pPr>
        <w:spacing w:after="160"/>
        <w:jc w:val="both"/>
      </w:pPr>
      <w:r>
        <w:rPr>
          <w:rFonts w:ascii="Calibri" w:cs="Calibri" w:eastAsia="Calibri" w:hAnsi="Calibri"/>
          <w:b/>
          <w:bCs/>
          <w:sz w:val="22"/>
          <w:szCs w:val="22"/>
        </w:rPr>
        <w:t xml:space="preserve">Transformación 4 — Embeddings → clusters (UMAP + HDBSCAN): </w:t>
      </w:r>
      <w:r>
        <w:rPr>
          <w:rFonts w:ascii="Calibri" w:cs="Calibri" w:eastAsia="Calibri" w:hAnsi="Calibri"/>
          <w:sz w:val="22"/>
          <w:szCs w:val="22"/>
        </w:rPr>
        <w:t xml:space="preserve">Conserva: proximidad relativa en el espacio de alta dimensión, de forma aproximada (UMAP es una reducción con pérdida). Introduce: los hiperparámetros de clustering (tamaño mínimo de clúster, número de vecinos de UMAP) determinan directamente cuántos y qué tan grandes son los clusters resultantes — es decir, el número “30” (o “127”, o “20”) no es una propiedad intrínseca descubierta en los datos, sino el resultado de una elección de umbral combinada con la estructura de los datos (ver sección 18).</w:t>
      </w:r>
    </w:p>
    <w:p>
      <w:pPr>
        <w:pStyle w:val="Heading2"/>
        <w:spacing w:after="160" w:before="340"/>
      </w:pPr>
      <w:r>
        <w:t xml:space="preserve">3.2 La pregunta de fondo: ¿un modelo entrenado para encontrar estructura, encontrará estructura incluso si no la hay?</w:t>
      </w:r>
    </w:p>
    <w:p>
      <w:pPr>
        <w:spacing w:after="160"/>
        <w:jc w:val="both"/>
      </w:pPr>
      <w:r>
        <w:rPr>
          <w:rFonts w:ascii="Calibri" w:cs="Calibri" w:eastAsia="Calibri" w:hAnsi="Calibri"/>
          <w:sz w:val="22"/>
          <w:szCs w:val="22"/>
        </w:rPr>
        <w:t xml:space="preserve">Este es el punto metodológicamente más delicado de todo el paper, y el paper no lo aborda con un control negativo explícito. BERT y HDBSCAN son, por diseño, herramientas que producen agrupamientos siempre que exista algún grado de regularidad estadística en los datos de entrada — incluso una regularidad débil, parcial, o parcialmente artefactual (por ejemplo, generada por la propia frecuencia desigual de los colores, o por la forma en que los catalogadores tienden a agrupar cuerdas de colores similares por convención de registro, no porque los khipukamayuqs las hayan agrupado así). El paper no incluye una línea base (baseline) de comparación: por ejemplo, ¿qué clusters produciría el mismo pipeline (BERT + UMAP + HDBSCAN) sobre una versión de los mismos datos con las etiquetas de color permutadas aleatoriamente dentro de cada khipu (conservando la frecuencia global de cada color, pero destruyendo cualquier estructura contextual real)? Si ese control produjera clusters igual de “nítidos”, sería evidencia de que el pipeline encuentra estructura incluso en datos sin estructura semántica real. Si, en cambio, el control produjera clusters mucho menos definidos (o ninguno), eso respaldaría fuertemente que la estructura encontrada en los datos reales no es un artefacto del método.</w:t>
      </w:r>
    </w:p>
    <w:p>
      <w:pPr>
        <w:spacing w:after="160"/>
        <w:jc w:val="both"/>
      </w:pPr>
      <w:r>
        <w:rPr>
          <w:rFonts w:ascii="Calibri" w:cs="Calibri" w:eastAsia="Calibri" w:hAnsi="Calibri"/>
          <w:sz w:val="22"/>
          <w:szCs w:val="22"/>
        </w:rPr>
        <w:t xml:space="preserve">El paper sí incluye un control parcial y relevante, que debe reconocerse: la comparación entre códigos KCCS agregados y códigos Ascher desagregados (p.12-13), que muestra que los sub-códigos de un mismo KCCS caen en los mismos clusters en proporciones similares — un control útil contra la hipótesis específica de que los clusters sean un artefacto de la agregación de códigos. Pero este control responde una pregunta distinta (¿la agregación de códigos genera clusters espurios?) de la pregunta más fundamental (¿el pipeline encuentra estructura incluso donde no la hay?). No se identificó en el texto un control de aleatorización/permutación para esta segunda pregunta.</w:t>
      </w:r>
    </w:p>
    <w:p>
      <w:pPr>
        <w:spacing w:after="160"/>
        <w:jc w:val="both"/>
      </w:pPr>
      <w:r>
        <w:rPr>
          <w:rFonts w:ascii="Calibri" w:cs="Calibri" w:eastAsia="Calibri" w:hAnsi="Calibri"/>
          <w:sz w:val="22"/>
          <w:szCs w:val="22"/>
        </w:rPr>
        <w:t xml:space="preserve">Clasificación: Categoría A. Es una omisión metodológica verificable en el propio texto del paper (no se describe ningún experimento de control negativo tipo permutación), no una crítica basada en conocimiento externo sobre khipus.</w:t>
      </w:r>
    </w:p>
    <w:p>
      <w:pPr>
        <w:pStyle w:val="Heading2"/>
        <w:spacing w:after="160" w:before="340"/>
      </w:pPr>
      <w:r>
        <w:t xml:space="preserve">3.3 Matiz importante: el argumento de convergencia parcialmente responde a esta crítica</w:t>
      </w:r>
    </w:p>
    <w:p>
      <w:pPr>
        <w:spacing w:after="160"/>
        <w:jc w:val="both"/>
      </w:pPr>
      <w:r>
        <w:rPr>
          <w:rFonts w:ascii="Calibri" w:cs="Calibri" w:eastAsia="Calibri" w:hAnsi="Calibri"/>
          <w:sz w:val="22"/>
          <w:szCs w:val="22"/>
        </w:rPr>
        <w:t xml:space="preserve">Debe reconocerse, en honestidad, que el paper ofrece un argumento indirecto contra la hipótesis de “puro artefacto”: la correlación del 75% (9 de 12 contrastes) con las varas envueltas físicas de Inkawasi (p.26, ver también sección 16 de este documento) es evidencia externa al propio pipeline estadístico, ya que las varas fueron documentadas arqueológicamente de forma independiente al proceso de entrenamiento del modelo. Si los clusters fueran pura estructura artefactual del pipeline, no habría razón a priori para que coincidieran con patrones de contraste de color observados en un objeto físico separado. Este es, en la evaluación de este documento, el argumento más fuerte del paper contra la hipótesis de artefacto puro — aunque, como se discute en la sección 16, es un solo sitio, con una muestra pequeña de 12 contrastes, y no sustituye a un control de permutación formal sobre todo el corpus.</w:t>
      </w:r>
    </w:p>
    <w:p>
      <w:pPr>
        <w:pStyle w:val="Heading1"/>
        <w:pageBreakBefore/>
        <w:spacing w:after="240" w:before="480"/>
      </w:pPr>
      <w:r>
        <w:t xml:space="preserve">4. ¿Qué pasa con los khipus numéricos? El punto ciego aritmético del modelo</w:t>
      </w:r>
    </w:p>
    <w:p>
      <w:pPr>
        <w:pStyle w:val="Heading2"/>
        <w:spacing w:after="160" w:before="340"/>
      </w:pPr>
      <w:r>
        <w:t xml:space="preserve">4.1 El problema, en abstracto</w:t>
      </w:r>
    </w:p>
    <w:p>
      <w:pPr>
        <w:spacing w:after="160"/>
        <w:jc w:val="both"/>
      </w:pPr>
      <w:r>
        <w:rPr>
          <w:rFonts w:ascii="Calibri" w:cs="Calibri" w:eastAsia="Calibri" w:hAnsi="Calibri"/>
          <w:sz w:val="22"/>
          <w:szCs w:val="22"/>
        </w:rPr>
        <w:t xml:space="preserve">Considérese, únicamente como ejemplo conceptual —no como un khipu real documentado— una secuencia de cantidades como 12 → 25 → 8 → 43. Si el valor 43 fuera la suma de 12+25+8 (con margen de redondeo), la relación relevante entre estas cuatro cuerdas no sería “qué color sigue a qué color”, sino “qué cuerda es sumando y cuál es el resultado de una operación aritmética sobre las demás”. Una secuencia de colores puede, en principio, coexistir con — y ser secundaria a — una estructura de este tipo: el color podría estar marcando el rol aritmético de la cuerda (sumando vs. resultado), no un contenido semántico independiente del cálculo.</w:t>
      </w:r>
    </w:p>
    <w:p>
      <w:pPr>
        <w:pStyle w:val="Heading2"/>
        <w:spacing w:after="160" w:before="340"/>
      </w:pPr>
      <w:r>
        <w:t xml:space="preserve">4.2 Por qué esto no es un ejemplo hipotético desconectado del paper</w:t>
      </w:r>
    </w:p>
    <w:p>
      <w:pPr>
        <w:spacing w:after="160"/>
        <w:jc w:val="both"/>
      </w:pPr>
      <w:r>
        <w:rPr>
          <w:rFonts w:ascii="Calibri" w:cs="Calibri" w:eastAsia="Calibri" w:hAnsi="Calibri"/>
          <w:sz w:val="22"/>
          <w:szCs w:val="22"/>
        </w:rPr>
        <w:t xml:space="preserve">Este no es un escenario inventado sin relación con el corpus: es, literalmente, el caso empírico más citado dentro del propio paper que se está evaluando. El paper dedica varios párrafos de su introducción (p.3-4) a describir los khipus KH0503 y KH0491 de Inkawasi, donde —según la disertación de Clindaniel (2019), citada explícitamente en este mismo paper— el color de cada cuerda señala directamente su rol en una operación aritmética: blanco/marrón claro = minuendo, marrón claro/medio = sustraendo, la combinación moteada = resultado (p.3). El propio paper, además, describe cómo Medrano y Khosla (2024) reinterpretan estas mismas cuerdas como marcadores del inicio de un “sum cluster” —una noción también inherentemente aritmética y estructural (p.3-4). Es decir: el ejemplo mejor documentado y más discutido de significado de color en todo el corpus de khipus es, en esencia, un ejemplo de color-como-marcador-de-función-aritmética, no de color-como-palabra-en-una-oración.</w:t>
      </w:r>
    </w:p>
    <w:p>
      <w:pPr>
        <w:pStyle w:val="Heading2"/>
        <w:spacing w:after="160" w:before="340"/>
      </w:pPr>
      <w:r>
        <w:t xml:space="preserve">4.3 Qué hace (y qué no hace) el modelo del paper con esta información</w:t>
      </w:r>
    </w:p>
    <w:p>
      <w:pPr>
        <w:spacing w:after="160"/>
        <w:jc w:val="both"/>
      </w:pPr>
      <w:r>
        <w:rPr>
          <w:rFonts w:ascii="Calibri" w:cs="Calibri" w:eastAsia="Calibri" w:hAnsi="Calibri"/>
          <w:sz w:val="22"/>
          <w:szCs w:val="22"/>
        </w:rPr>
        <w:t xml:space="preserve">El modelo entrenado en CI-2024 solo recibe como entrada la secuencia de códigos de color (p.7-8); no recibe el valor numérico registrado por el nudo de cada cuerda, ni su rol aritmético (sumando/suma/resultado), ni si la cuerda pertenece a una relación de Ascher identificada. El “contexto” que el modelo aprende a usar para predecir un color enmascarado es exclusivamente la secuencia de otros colores — nunca la estructura numérica subyacente.</w:t>
      </w:r>
    </w:p>
    <w:p>
      <w:pPr>
        <w:spacing w:after="160"/>
        <w:jc w:val="both"/>
      </w:pPr>
      <w:r>
        <w:rPr>
          <w:rFonts w:ascii="Calibri" w:cs="Calibri" w:eastAsia="Calibri" w:hAnsi="Calibri"/>
          <w:sz w:val="22"/>
          <w:szCs w:val="22"/>
        </w:rPr>
        <w:t xml:space="preserve">Esto tiene una consecuencia directa y verificable dentro del propio paper: cuando describe el caso KH0503/KH0491, el paper señala que “the overall cosine similarity of light brown in KH0503 versus KH0491 is 0.89” (p.18) — es decir, el modelo sí detecta que el marrón claro se usa de forma parecida (pero no idéntica) en ambos khipus. Sin embargo, el modelo no tiene forma de “saber”, ni el paper de verificar con este método, si esa similitud/diferencia de 0.89 rastrea específicamente el cambio de rol aritmético (minuendo en un khipu, sustraendo en el otro) que la propia disertación de 2019 documentó como la explicación cualitativa correcta de por qué el marrón claro se usa “de forma relacionada, pero no idéntica” en ambos. El modelo puede reproducir el patrón de similitud, sin que el paper demuestre que lo hace por la razón aritmética correcta (ver también sección 9, sobre explicaciones alternativas).</w:t>
      </w:r>
    </w:p>
    <w:p>
      <w:pPr>
        <w:pStyle w:val="Heading2"/>
        <w:spacing w:after="160" w:before="340"/>
      </w:pPr>
      <w:r>
        <w:t xml:space="preserve">4.4 Consecuencia metodológica: el modelo puede estar optimizado para un patrón distinto al que el propio corpus de khipus sugiere que es el más importante</w:t>
      </w:r>
    </w:p>
    <w:p>
      <w:pPr>
        <w:spacing w:after="160"/>
        <w:jc w:val="both"/>
      </w:pPr>
      <w:r>
        <w:rPr>
          <w:rFonts w:ascii="Calibri" w:cs="Calibri" w:eastAsia="Calibri" w:hAnsi="Calibri"/>
          <w:sz w:val="22"/>
          <w:szCs w:val="22"/>
        </w:rPr>
        <w:t xml:space="preserve">Si —como sugiere la evidencia ya revisada de Medrano y Khosla (2024) y de la propia disertación de Clindaniel (2019)— una parte sustancial del significado del color en los khipus administrativos (que son, según toda la literatura revisada en este corpus, el género predominante y mejor documentado) está ligada a su función aritmética y no solo a su co-ocurrencia con otros colores, entonces un modelo “solo color” tiene, por diseño, un techo de capacidad explicativa: puede aprender que ciertos colores tienden a aparecer juntos, sin poder distinguir si esa co-ocurrencia refleja una convención puramente cromática o es un efecto secundario de que esos colores tienden a marcar las mismas posiciones aritméticas (sumando, suma) en las secuencias numéricas del khipu.</w:t>
      </w:r>
    </w:p>
    <w:p>
      <w:pPr>
        <w:spacing w:after="160"/>
        <w:jc w:val="both"/>
      </w:pPr>
      <w:r>
        <w:rPr>
          <w:rFonts w:ascii="Calibri" w:cs="Calibri" w:eastAsia="Calibri" w:hAnsi="Calibri"/>
          <w:sz w:val="22"/>
          <w:szCs w:val="22"/>
        </w:rPr>
        <w:t xml:space="preserve">El propio autor reconoce, en la sección de discusión, una versión adyacente de esta limitación —pero enfocada en el material de la cuerda, no en la estructura numérica—: “Of course, it is also possible that such determinatives were not color-based at all... What may have distinguished these colors is not their color – but the material that was used to make the cord” (p.27). El paper reconoce explícitamente que otras variables no incluidas podrían ser determinantes, pero no menciona en ningún punto del texto la variable numérica/aritmética específicamente como una de esas variables omitidas, pese a que es la variable mejor documentada en la literatura previa de khipus (incluyendo su propio trabajo de 2019) como codeterminante del significado del color.</w:t>
      </w:r>
    </w:p>
    <w:p>
      <w:pPr>
        <w:pStyle w:val="Heading2"/>
        <w:spacing w:after="160" w:before="340"/>
      </w:pPr>
      <w:r>
        <w:t xml:space="preserve">4.5 Preguntas, no afirmaciones</w:t>
      </w:r>
    </w:p>
    <w:p>
      <w:pPr>
        <w:pStyle w:val="ListParagraph"/>
        <w:numPr>
          <w:ilvl w:val="0"/>
          <w:numId w:val="1"/>
        </w:numPr>
        <w:spacing w:after="90"/>
      </w:pPr>
      <w:r>
        <w:rPr>
          <w:rFonts w:ascii="Calibri" w:cs="Calibri" w:eastAsia="Calibri" w:hAnsi="Calibri"/>
          <w:sz w:val="22"/>
          <w:szCs w:val="22"/>
        </w:rPr>
        <w:t xml:space="preserve">¿Puede el método, tal como está construido, representar relaciones numéricas entre cuerdas? No directamente: el modelo no recibe el valor numérico como entrada.</w:t>
      </w:r>
    </w:p>
    <w:p>
      <w:pPr>
        <w:pStyle w:val="ListParagraph"/>
        <w:numPr>
          <w:ilvl w:val="0"/>
          <w:numId w:val="1"/>
        </w:numPr>
        <w:spacing w:after="90"/>
      </w:pPr>
      <w:r>
        <w:rPr>
          <w:rFonts w:ascii="Calibri" w:cs="Calibri" w:eastAsia="Calibri" w:hAnsi="Calibri"/>
          <w:sz w:val="22"/>
          <w:szCs w:val="22"/>
        </w:rPr>
        <w:t xml:space="preserve">¿Puede representar jerarquías (p.ej. subtotal vs. total)? No directamente, salvo en la medida en que la jerarquía se correlacione indirectamente con patrones de color que el modelo sí puede aprender.</w:t>
      </w:r>
    </w:p>
    <w:p>
      <w:pPr>
        <w:pStyle w:val="ListParagraph"/>
        <w:numPr>
          <w:ilvl w:val="0"/>
          <w:numId w:val="1"/>
        </w:numPr>
        <w:spacing w:after="90"/>
      </w:pPr>
      <w:r>
        <w:rPr>
          <w:rFonts w:ascii="Calibri" w:cs="Calibri" w:eastAsia="Calibri" w:hAnsi="Calibri"/>
          <w:sz w:val="22"/>
          <w:szCs w:val="22"/>
        </w:rPr>
        <w:t xml:space="preserve">¿Puede distinguir valor numérico de posición? No: el modelo no tiene acceso al valor numérico en absoluto en esta versión del análisis.</w:t>
      </w:r>
    </w:p>
    <w:p>
      <w:pPr>
        <w:pStyle w:val="ListParagraph"/>
        <w:numPr>
          <w:ilvl w:val="0"/>
          <w:numId w:val="1"/>
        </w:numPr>
        <w:spacing w:after="90"/>
      </w:pPr>
      <w:r>
        <w:rPr>
          <w:rFonts w:ascii="Calibri" w:cs="Calibri" w:eastAsia="Calibri" w:hAnsi="Calibri"/>
          <w:sz w:val="22"/>
          <w:szCs w:val="22"/>
        </w:rPr>
        <w:t xml:space="preserve">¿El enfoque podría estar optimizado para encontrar patrones secuenciales de color aunque el significado real de una parte relevante del corpus dependa de relaciones numérico-estructurales? Es una posibilidad razonable, no descartada ni confirmada por el propio paper.</w:t>
      </w:r>
    </w:p>
    <w:p>
      <w:pPr>
        <w:spacing w:after="160"/>
        <w:jc w:val="both"/>
      </w:pPr>
      <w:r>
        <w:rPr>
          <w:rFonts w:ascii="Calibri" w:cs="Calibri" w:eastAsia="Calibri" w:hAnsi="Calibri"/>
          <w:sz w:val="22"/>
          <w:szCs w:val="22"/>
        </w:rPr>
        <w:t xml:space="preserve">Clasificación: Categoría A (el propio paper describe el caso KH0503/KH0491 como fundamentalmente aritmético y no incorpora esa variable al modelo) reforzada por Categoría B (Medrano y Khosla 2024, ya revisado en este corpus, demuestra a escala de 650 khipus que gran parte de la estructura de color coincide con estructura aritmética de sumas, lo que hace plausible que un modelo “solo color” esté parcialmente redescubriendo, de forma indirecta y sin saberlo, ecos de esa estructura aritmética subyacente en vez de una convención puramente semántico-cromática independiente).</w:t>
      </w:r>
    </w:p>
    <w:p>
      <w:pPr>
        <w:pStyle w:val="Heading1"/>
        <w:pageBreakBefore/>
        <w:spacing w:after="240" w:before="480"/>
      </w:pPr>
      <w:r>
        <w:t xml:space="preserve">5. Cuerdas consecutivas del mismo color: ¿qué hace el paper con la repetición?</w:t>
      </w:r>
    </w:p>
    <w:p>
      <w:pPr>
        <w:spacing w:after="160"/>
        <w:jc w:val="both"/>
      </w:pPr>
      <w:r>
        <w:rPr>
          <w:rFonts w:ascii="Calibri" w:cs="Calibri" w:eastAsia="Calibri" w:hAnsi="Calibri"/>
          <w:sz w:val="22"/>
          <w:szCs w:val="22"/>
        </w:rPr>
        <w:t xml:space="preserve">Se analizan aquí casos como rojo→rojo, rojo→rojo→rojo, rojo→rojo→azul, amarillo→amarillo→azul→azul, siguiendo exactamente el pedido de la evaluación.</w:t>
      </w:r>
    </w:p>
    <w:p>
      <w:pPr>
        <w:pStyle w:val="Heading2"/>
        <w:spacing w:after="160" w:before="340"/>
      </w:pPr>
      <w:r>
        <w:t xml:space="preserve">5.1 Búsqueda en el texto del paper</w:t>
      </w:r>
    </w:p>
    <w:p>
      <w:pPr>
        <w:spacing w:after="160"/>
        <w:jc w:val="both"/>
      </w:pPr>
      <w:r>
        <w:rPr>
          <w:rFonts w:ascii="Calibri" w:cs="Calibri" w:eastAsia="Calibri" w:hAnsi="Calibri"/>
          <w:sz w:val="22"/>
          <w:szCs w:val="22"/>
        </w:rPr>
        <w:t xml:space="preserve">Tras una lectura completa del texto (secciones de métodos, resultados y discusión), no se encontró ninguna mención explícita de cómo el paper trata la repetición consecutiva de un mismo color dentro de un grupo de cuerdas, ni ninguna discusión directa sobre si la repetición en sí misma (independiente de qué color se repite) es una señal con posible valor semántico propio. El paper tampoco muestra ningún ejemplo textual, tabla o figura con una secuencia de colores real donde se pueda observar cómo se codificó un caso de repetición.</w:t>
      </w:r>
    </w:p>
    <w:p>
      <w:pPr>
        <w:pStyle w:val="Heading2"/>
        <w:spacing w:after="160" w:before="340"/>
      </w:pPr>
      <w:r>
        <w:t xml:space="preserve">5.2 Lo que se puede inferir de la arquitectura (sin que el paper lo confirme)</w:t>
      </w:r>
    </w:p>
    <w:p>
      <w:pPr>
        <w:spacing w:after="160"/>
        <w:jc w:val="both"/>
      </w:pPr>
      <w:r>
        <w:rPr>
          <w:rFonts w:ascii="Calibri" w:cs="Calibri" w:eastAsia="Calibri" w:hAnsi="Calibri"/>
          <w:sz w:val="22"/>
          <w:szCs w:val="22"/>
        </w:rPr>
        <w:t xml:space="preserve">A partir de conocimiento general —no específico de este paper— sobre cómo funciona la arquitectura BERT estándar, es razonable inferir que dos cuerdas consecutivas del mismo color (p.ej. rojo→rojo) se tokenizan como dos tokens distintos en dos posiciones distintas, cada uno con su propia codificación posicional; el modelo, en principio, no colapsaría automáticamente “rojo→rojo” en una sola unidad equivalente a “rojo” solo. Esto es una inferencia de esta evaluación basada en el funcionamiento general de los transformers, no una confirmación textual del paper — el propio texto no lo explica, ni lo muestra, ni lo prueba empíricamente para el caso khipu.</w:t>
      </w:r>
    </w:p>
    <w:p>
      <w:pPr>
        <w:pStyle w:val="Heading2"/>
        <w:spacing w:after="160" w:before="340"/>
      </w:pPr>
      <w:r>
        <w:t xml:space="preserve">5.3 Por qué esto importa para khipus específicamente</w:t>
      </w:r>
    </w:p>
    <w:p>
      <w:pPr>
        <w:spacing w:after="160"/>
        <w:jc w:val="both"/>
      </w:pPr>
      <w:r>
        <w:rPr>
          <w:rFonts w:ascii="Calibri" w:cs="Calibri" w:eastAsia="Calibri" w:hAnsi="Calibri"/>
          <w:sz w:val="22"/>
          <w:szCs w:val="22"/>
        </w:rPr>
        <w:t xml:space="preserve">La razón por la que este punto merece atención especial (y no sería relevante, por ejemplo, para un texto en español) es que, a diferencia de las palabras de un idioma natural, se sabe por la literatura de khipus ya revisada que la repetición de color contigua es, en sí misma, una de las variables con mayor evidencia acumulada de tener función semántica propia: el fenómeno de “banding” (bandas de un mismo color repetido) frente a “seriación” (secuencias alternadas de colores distintos) es, según Hyland (2016) y la propia disertación de Clindaniel (2019, con validación estadística mediante regresión logística, p&lt;0.01), uno de los hallazgos mejor respaldados de toda la literatura de khipus: el banding tiende a codificar datos de nivel individual y la seriación datos agregados/grupales. Es decir, en la literatura previa sobre la que el propio autor ha trabajado, “cuántas veces se repite el mismo color seguido” no es un detalle incidental de la secuencia — es potencialmente la señal principal.</w:t>
      </w:r>
    </w:p>
    <w:p>
      <w:pPr>
        <w:spacing w:after="160"/>
        <w:jc w:val="both"/>
      </w:pPr>
      <w:r>
        <w:rPr>
          <w:rFonts w:ascii="Calibri" w:cs="Calibri" w:eastAsia="Calibri" w:hAnsi="Calibri"/>
          <w:sz w:val="22"/>
          <w:szCs w:val="22"/>
        </w:rPr>
        <w:t xml:space="preserve">El modelo del paper, sin embargo, aprende una representación por cuerda basada en el contexto de colores vecinos, lo cual en principio SÍ podría capturar indirectamente el fenómeno de banding/seriación (una cuerda rodeada de cuerdas del mismo color tendría un contexto distinto a una cuerda rodeada de cuerdas de colores alternados). Pero el paper no verifica ni discute explícitamente si sus clusters capturan esta distinción particular — no hay, en el texto, ningún análisis que separe explícitamente khipus/grupos bandeados de khipus/grupos seriados para comprobar si el modelo los distingue de la forma esperada según la literatura previa del propio autor.</w:t>
      </w:r>
    </w:p>
    <w:p>
      <w:pPr>
        <w:pStyle w:val="Heading2"/>
        <w:spacing w:after="160" w:before="340"/>
      </w:pPr>
      <w:r>
        <w:t xml:space="preserve">5.4 Respuestas directas a las preguntas del pedido</w:t>
      </w:r>
    </w:p>
    <w:p>
      <w:pPr>
        <w:pStyle w:val="ListParagraph"/>
        <w:numPr>
          <w:ilvl w:val="0"/>
          <w:numId w:val="1"/>
        </w:numPr>
        <w:spacing w:after="90"/>
      </w:pPr>
      <w:r>
        <w:rPr>
          <w:rFonts w:ascii="Calibri" w:cs="Calibri" w:eastAsia="Calibri" w:hAnsi="Calibri"/>
          <w:sz w:val="22"/>
          <w:szCs w:val="22"/>
        </w:rPr>
        <w:t xml:space="preserve">¿Dos cuerdas consecutivas del mismo color son unidades independientes para el modelo? Aparentemente sí, por la arquitectura estándar de tokens — pero esto es una inferencia de esta evaluación, no algo confirmado por el texto del paper.</w:t>
      </w:r>
    </w:p>
    <w:p>
      <w:pPr>
        <w:pStyle w:val="ListParagraph"/>
        <w:numPr>
          <w:ilvl w:val="0"/>
          <w:numId w:val="1"/>
        </w:numPr>
        <w:spacing w:after="90"/>
      </w:pPr>
      <w:r>
        <w:rPr>
          <w:rFonts w:ascii="Calibri" w:cs="Calibri" w:eastAsia="Calibri" w:hAnsi="Calibri"/>
          <w:sz w:val="22"/>
          <w:szCs w:val="22"/>
        </w:rPr>
        <w:t xml:space="preserve">¿La repetición se conserva? Sí, en la medida en que la secuencia de tokens preserva el orden original — pero no se discute ni se prueba explícitamente en el paper.</w:t>
      </w:r>
    </w:p>
    <w:p>
      <w:pPr>
        <w:pStyle w:val="ListParagraph"/>
        <w:numPr>
          <w:ilvl w:val="0"/>
          <w:numId w:val="1"/>
        </w:numPr>
        <w:spacing w:after="90"/>
      </w:pPr>
      <w:r>
        <w:rPr>
          <w:rFonts w:ascii="Calibri" w:cs="Calibri" w:eastAsia="Calibri" w:hAnsi="Calibri"/>
          <w:sz w:val="22"/>
          <w:szCs w:val="22"/>
        </w:rPr>
        <w:t xml:space="preserve">¿El modelo puede distinguir “rojo” de “rojo→rojo”? Probablemente sí a nivel de arquitectura (dos posiciones distintas producen, en principio, embeddings distintos aunque relacionados), pero el paper no lo demuestra ni lo ilustra con ningún ejemplo.</w:t>
      </w:r>
    </w:p>
    <w:p>
      <w:pPr>
        <w:pStyle w:val="ListParagraph"/>
        <w:numPr>
          <w:ilvl w:val="0"/>
          <w:numId w:val="1"/>
        </w:numPr>
        <w:spacing w:after="90"/>
      </w:pPr>
      <w:r>
        <w:rPr>
          <w:rFonts w:ascii="Calibri" w:cs="Calibri" w:eastAsia="Calibri" w:hAnsi="Calibri"/>
          <w:sz w:val="22"/>
          <w:szCs w:val="22"/>
        </w:rPr>
        <w:t xml:space="preserve">¿Puede distinguir rojo→azul→rojo de rojo→rojo→azul? Por la misma razón, en principio sí a nivel arquitectónico, pero de nuevo sin demostración textual en el paper.</w:t>
      </w:r>
    </w:p>
    <w:p>
      <w:pPr>
        <w:pStyle w:val="ListParagraph"/>
        <w:numPr>
          <w:ilvl w:val="0"/>
          <w:numId w:val="1"/>
        </w:numPr>
        <w:spacing w:after="90"/>
      </w:pPr>
      <w:r>
        <w:rPr>
          <w:rFonts w:ascii="Calibri" w:cs="Calibri" w:eastAsia="Calibri" w:hAnsi="Calibri"/>
          <w:sz w:val="22"/>
          <w:szCs w:val="22"/>
        </w:rPr>
        <w:t xml:space="preserve">¿La repetición puede tener significado? Según la literatura previa de khipus (banding/seriación), con alta probabilidad sí.</w:t>
      </w:r>
    </w:p>
    <w:p>
      <w:pPr>
        <w:pStyle w:val="ListParagraph"/>
        <w:numPr>
          <w:ilvl w:val="0"/>
          <w:numId w:val="1"/>
        </w:numPr>
        <w:spacing w:after="90"/>
      </w:pPr>
      <w:r>
        <w:rPr>
          <w:rFonts w:ascii="Calibri" w:cs="Calibri" w:eastAsia="Calibri" w:hAnsi="Calibri"/>
          <w:sz w:val="22"/>
          <w:szCs w:val="22"/>
        </w:rPr>
        <w:t xml:space="preserve">¿El paper discute explícitamente este problema? No. No se encontró ninguna sección, tabla o figura dedicada específicamente a la repetición de color como fenómeno analizado por separado.</w:t>
      </w:r>
    </w:p>
    <w:p>
      <w:pPr>
        <w:spacing w:after="160"/>
        <w:jc w:val="both"/>
      </w:pPr>
      <w:r>
        <w:rPr>
          <w:rFonts w:ascii="Calibri" w:cs="Calibri" w:eastAsia="Calibri" w:hAnsi="Calibri"/>
          <w:sz w:val="22"/>
          <w:szCs w:val="22"/>
        </w:rPr>
        <w:t xml:space="preserve">Siguiendo la instrucción explícita de no inventar una solución que el paper no presenta: este documento no afirma que el modelo falle en capturar la repetición, ni que tenga éxito. Se limita a constatar que el paper no lo discute, pese a que la propia literatura previa del autor identifica la repetición de color (banding) como una de las variables semánticamente más importantes conocidas en todo el campo.</w:t>
      </w:r>
    </w:p>
    <w:p>
      <w:pPr>
        <w:spacing w:after="160"/>
        <w:jc w:val="both"/>
      </w:pPr>
      <w:r>
        <w:rPr>
          <w:rFonts w:ascii="Calibri" w:cs="Calibri" w:eastAsia="Calibri" w:hAnsi="Calibri"/>
          <w:sz w:val="22"/>
          <w:szCs w:val="22"/>
        </w:rPr>
        <w:t xml:space="preserve">Clasificación: Categoría A (ausencia verificable de discusión explícita en el texto) reforzada por Categoría B (la importancia conocida del banding/seriación en la literatura de khipus, incluyendo trabajo previo del propio autor, hace que esta omisión sea más significativa de lo que sería en un análisis puramente lingüístico genérico).</w:t>
      </w:r>
    </w:p>
    <w:p>
      <w:pPr>
        <w:pStyle w:val="Heading1"/>
        <w:pageBreakBefore/>
        <w:spacing w:after="240" w:before="480"/>
      </w:pPr>
      <w:r>
        <w:t xml:space="preserve">6. Orden, posición y contexto estructural</w:t>
      </w:r>
    </w:p>
    <w:p>
      <w:pPr>
        <w:pStyle w:val="Heading2"/>
        <w:spacing w:after="160" w:before="340"/>
      </w:pPr>
      <w:r>
        <w:t xml:space="preserve">6.1 ¿Es equivalente rojo→azul→amarillo a amarillo→azul→rojo?</w:t>
      </w:r>
    </w:p>
    <w:p>
      <w:pPr>
        <w:spacing w:after="160"/>
        <w:jc w:val="both"/>
      </w:pPr>
      <w:r>
        <w:rPr>
          <w:rFonts w:ascii="Calibri" w:cs="Calibri" w:eastAsia="Calibri" w:hAnsi="Calibri"/>
          <w:sz w:val="22"/>
          <w:szCs w:val="22"/>
        </w:rPr>
        <w:t xml:space="preserve">Para un modelo BERT estándar, no debería serlo: la codificación posicional del transformer asigna una representación distinta a cada posición de la secuencia, por lo que, en principio, el modelo puede aprender representaciones distintas para una cuerda “roja en primera posición” frente a una cuerda “roja en tercera posición” de la misma tríada. Esta es, nuevamente, una inferencia de esta evaluación basada en el funcionamiento estándar de la arquitectura BERT — el paper no presenta ningún experimento, tabla o figura que pruebe explícitamente esta sensibilidad al orden para el caso específico de las secuencias de color de khipu (por ejemplo, invirtiendo artificialmente el orden de una secuencia conocida y observando si el embedding resultante cambia de forma sustancial). No se encontró tal prueba en el texto.</w:t>
      </w:r>
    </w:p>
    <w:p>
      <w:pPr>
        <w:pStyle w:val="Heading2"/>
        <w:spacing w:after="160" w:before="340"/>
      </w:pPr>
      <w:r>
        <w:t xml:space="preserve">6.2 ¿Es equivalente rojo→rojo→azul a rojo→azul→rojo?</w:t>
      </w:r>
    </w:p>
    <w:p>
      <w:pPr>
        <w:spacing w:after="160"/>
        <w:jc w:val="both"/>
      </w:pPr>
      <w:r>
        <w:rPr>
          <w:rFonts w:ascii="Calibri" w:cs="Calibri" w:eastAsia="Calibri" w:hAnsi="Calibri"/>
          <w:sz w:val="22"/>
          <w:szCs w:val="22"/>
        </w:rPr>
        <w:t xml:space="preserve">Por la misma lógica posicional, no deberían ser equivalentes para el modelo. Pero, igual que en la sección 5, el paper no lo demuestra explícitamente con un ejemplo ilustrativo, y no hay forma de verificarlo sin acceder directamente al código publicado en Zenodo (fuera del alcance de esta evaluación textual).</w:t>
      </w:r>
    </w:p>
    <w:p>
      <w:pPr>
        <w:pStyle w:val="Heading2"/>
        <w:spacing w:after="160" w:before="340"/>
      </w:pPr>
      <w:r>
        <w:t xml:space="preserve">6.3 Lo que el paper sí demuestra sobre sensibilidad al contexto (indirectamente)</w:t>
      </w:r>
    </w:p>
    <w:p>
      <w:pPr>
        <w:spacing w:after="160"/>
        <w:jc w:val="both"/>
      </w:pPr>
      <w:r>
        <w:rPr>
          <w:rFonts w:ascii="Calibri" w:cs="Calibri" w:eastAsia="Calibri" w:hAnsi="Calibri"/>
          <w:sz w:val="22"/>
          <w:szCs w:val="22"/>
        </w:rPr>
        <w:t xml:space="preserve">El paper ofrece un ejemplo indirecto relevante para esta pregunta, que debe reconocerse como evidencia real (no hipotética) de sensibilidad al contexto: los khipus KH0503 y KH0491, que “use similar colors overall” pero fueron correctamente asignados por el modelo a dos clusters de “tópico” distintos (6 y 12 respectivamente, p.22). Esto demuestra que el modelo no se limita a contar qué colores aparecen (una especie de “bolsa de colores” sin orden), sino que es sensible a algo más que la mera presencia/ausencia de cada color — de otro modo, dos khipus con “colores similares en general” deberían caer en el mismo cluster. Este es un argumento razonable a favor de que el modelo captura información posicional/contextual real, aunque el paper no aísla explícitamente si la diferencia entre KH0503 y KH0491 se debe al orden, a la frecuencia relativa, o a ambos factores combinados.</w:t>
      </w:r>
    </w:p>
    <w:p>
      <w:pPr>
        <w:pStyle w:val="Heading2"/>
        <w:spacing w:after="160" w:before="340"/>
      </w:pPr>
      <w:r>
        <w:t xml:space="preserve">6.4 Lo que el modelo no considera en absoluto: estructura física más allá de la secuencia de colores</w:t>
      </w:r>
    </w:p>
    <w:p>
      <w:pPr>
        <w:spacing w:after="160"/>
        <w:jc w:val="both"/>
      </w:pPr>
      <w:r>
        <w:rPr>
          <w:rFonts w:ascii="Calibri" w:cs="Calibri" w:eastAsia="Calibri" w:hAnsi="Calibri"/>
          <w:sz w:val="22"/>
          <w:szCs w:val="22"/>
        </w:rPr>
        <w:t xml:space="preserve">Más allá del orden dentro de una secuencia lineal de colores, el paper no incorpora ningún elemento de la estructura física tridimensional del khipu: no distingue cuerdas colgantes de cuerdas superiores más que como parte de la misma secuencia de tokens (“every recorded khipu pendant and top cord color”, p.6 — se mezclan ambos tipos en el mismo flujo de entrada, sin una marca que distinga su rol estructural distinto), no incorpora la posición de una cuerda respecto a la cuerda primaria, no incorpora si una cuerda es subsidiaria de otra, ni la existencia o ausencia de kaytes. El propio autor reconoce esta omisión de forma explícita y la deja como pregunta abierta de investigación futura: “primary cords and kaytes... How much information do khipu-level signs actually provide in making sense of polysemic signs?” (p.27). Esta es, por tanto, una limitación que el propio autor ya identifica — se documenta aquí con más detalle en la sección 13 (limitaciones no discutidas) solo en la medida en que el paper no llega a estimar cuánto podría cambiar el resultado si se incorporara.</w:t>
      </w:r>
    </w:p>
    <w:p>
      <w:pPr>
        <w:pStyle w:val="Heading2"/>
        <w:spacing w:after="160" w:before="340"/>
      </w:pPr>
      <w:r>
        <w:t xml:space="preserve">6.5 Síntesis de esta sección</w:t>
      </w:r>
    </w:p>
    <w:p>
      <w:pPr>
        <w:spacing w:after="160"/>
        <w:jc w:val="both"/>
      </w:pPr>
      <w:r>
        <w:rPr>
          <w:rFonts w:ascii="Calibri" w:cs="Calibri" w:eastAsia="Calibri" w:hAnsi="Calibri"/>
          <w:sz w:val="22"/>
          <w:szCs w:val="22"/>
        </w:rPr>
        <w:t xml:space="preserve">El modelo captura correctamente al menos un nivel de sensibilidad al contexto (la posición dentro de la secuencia de un grupo de cuerdas, de forma indirecta, mostrada por el caso KH0503/KH0491), pero no incorpora la jerarquía estructural más amplia del khipu (cuerda primaria, kaytes, tipo de cuerda pendiente/superior/subsidiaria). Clasificación: Categoría A para la falta de una demostración explícita de sensibilidad al orden lineal (el paper no lo prueba directamente, aunque es plausible por la arquitectura); Categoría A también para la omisión de jerarquía estructural (reconocida por el propio autor, por lo que no es una omisión “oculta”, pero sigue siendo una limitación real de lo que el modelo puede, en principio, descubrir).</w:t>
      </w:r>
    </w:p>
    <w:p>
      <w:pPr>
        <w:pStyle w:val="Heading1"/>
        <w:pageBreakBefore/>
        <w:spacing w:after="240" w:before="480"/>
      </w:pPr>
      <w:r>
        <w:t xml:space="preserve">7. El problema de los clusters: cuatro niveles que no deben confundirse</w:t>
      </w:r>
    </w:p>
    <w:p>
      <w:pPr>
        <w:spacing w:after="160"/>
        <w:jc w:val="both"/>
      </w:pPr>
      <w:r>
        <w:rPr>
          <w:rFonts w:ascii="Calibri" w:cs="Calibri" w:eastAsia="Calibri" w:hAnsi="Calibri"/>
          <w:sz w:val="22"/>
          <w:szCs w:val="22"/>
        </w:rPr>
        <w:t xml:space="preserve">Esta es, según lo solicitado, una de las secciones más importantes de la evaluación. Se distinguen cuatro niveles de afirmación posible, y se determina hasta dónde llega realmente la evidencia del paper.</w:t>
      </w:r>
    </w:p>
    <w:p>
      <w:pPr>
        <w:pStyle w:val="Heading2"/>
        <w:spacing w:after="160" w:before="340"/>
      </w:pPr>
      <w:r>
        <w:t xml:space="preserve">Nivel 1 — Observación: “estas unidades comparten determinadas características”</w:t>
      </w:r>
    </w:p>
    <w:p>
      <w:pPr>
        <w:spacing w:after="160"/>
        <w:jc w:val="both"/>
      </w:pPr>
      <w:r>
        <w:rPr>
          <w:rFonts w:ascii="Calibri" w:cs="Calibri" w:eastAsia="Calibri" w:hAnsi="Calibri"/>
          <w:sz w:val="22"/>
          <w:szCs w:val="22"/>
        </w:rPr>
        <w:t xml:space="preserve">Nivel plenamente alcanzado y bien documentado. El paper mide, con un método explícito y reproducible (similitud coseno entre embeddings contextuales), que ciertas cuerdas de color comparten patrones de co-ocurrencia con sus vecinas. Esto es una observación cuantitativa directa, con cifras verificables (Figuras 5-9).</w:t>
      </w:r>
    </w:p>
    <w:p>
      <w:pPr>
        <w:pStyle w:val="Heading2"/>
        <w:spacing w:after="160" w:before="340"/>
      </w:pPr>
      <w:r>
        <w:t xml:space="preserve">Nivel 2 — Patrón computacional: “el algoritmo puede agruparlas”</w:t>
      </w:r>
    </w:p>
    <w:p>
      <w:pPr>
        <w:spacing w:after="160"/>
        <w:jc w:val="both"/>
      </w:pPr>
      <w:r>
        <w:rPr>
          <w:rFonts w:ascii="Calibri" w:cs="Calibri" w:eastAsia="Calibri" w:hAnsi="Calibri"/>
          <w:sz w:val="22"/>
          <w:szCs w:val="22"/>
        </w:rPr>
        <w:t xml:space="preserve">Nivel plenamente alcanzado. HDBSCAN agrupa las cuerdas en 30 clusters grandes (y hasta 488 sub-clusters con umbrales más finos, p.27). Esto también es un resultado técnico directo, condicionado a las elecciones de hiperparámetros ya discutidas en la sección 3.</w:t>
      </w:r>
    </w:p>
    <w:p>
      <w:pPr>
        <w:pStyle w:val="Heading2"/>
        <w:spacing w:after="160" w:before="340"/>
      </w:pPr>
      <w:r>
        <w:t xml:space="preserve">Nivel 3 — Interpretación: “estas unidades podrían estar relacionadas funcionalmente”</w:t>
      </w:r>
    </w:p>
    <w:p>
      <w:pPr>
        <w:spacing w:after="160"/>
        <w:jc w:val="both"/>
      </w:pPr>
      <w:r>
        <w:rPr>
          <w:rFonts w:ascii="Calibri" w:cs="Calibri" w:eastAsia="Calibri" w:hAnsi="Calibri"/>
          <w:sz w:val="22"/>
          <w:szCs w:val="22"/>
        </w:rPr>
        <w:t xml:space="preserve">Nivel alcanzado con matices razonables. El paso de “cluster” a “dominio semántico” es explícitamente marcado por el autor como una interpretación, no como una deducción automática: “Color codes that are clustered together may then be interpreted as meaningfully similar to one another” (p.9, énfasis añadido). El uso reiterado de “may be interpreted” a lo largo de la sección de métodos es una señal de que el propio autor es consciente de que este es un paso inferencial, no una medición directa. En este nivel, la interpretación está razonablemente calificada por el propio texto.</w:t>
      </w:r>
    </w:p>
    <w:p>
      <w:pPr>
        <w:pStyle w:val="Heading2"/>
        <w:spacing w:after="160" w:before="340"/>
      </w:pPr>
      <w:r>
        <w:t xml:space="preserve">Nivel 4 — Significado: “estas unidades representan X”</w:t>
      </w:r>
    </w:p>
    <w:p>
      <w:pPr>
        <w:spacing w:after="160"/>
        <w:jc w:val="both"/>
      </w:pPr>
      <w:r>
        <w:rPr>
          <w:rFonts w:ascii="Calibri" w:cs="Calibri" w:eastAsia="Calibri" w:hAnsi="Calibri"/>
          <w:sz w:val="22"/>
          <w:szCs w:val="22"/>
        </w:rPr>
        <w:t xml:space="preserve">Aquí es donde la evaluación de este documento identifica el mayor salto entre evidencia y conclusión. El paper transita, particularmente en la Discusión y la Conclusión, de “cluster” a afirmaciones sobre significado cultural específico sin el mismo nivel de calificación explícita que usó en la sección de métodos. Ejemplos textuales:</w:t>
      </w:r>
    </w:p>
    <w:p>
      <w:pPr>
        <w:pBdr>
          <w:left w:val="single" w:color="999999" w:sz="12" w:space="8"/>
        </w:pBdr>
        <w:spacing w:after="120"/>
        <w:ind w:left="480"/>
      </w:pPr>
      <w:r>
        <w:rPr>
          <w:rFonts w:ascii="Calibri" w:cs="Calibri" w:eastAsia="Calibri" w:hAnsi="Calibri"/>
          <w:i/>
          <w:iCs/>
          <w:sz w:val="20"/>
          <w:szCs w:val="20"/>
        </w:rPr>
        <w:t xml:space="preserve">“My findings reveal a coherent system of color signs, wherein different colors occupy distinct, relationally-opposed semantic domains (Abstract, p.1).”</w:t>
      </w:r>
    </w:p>
    <w:p>
      <w:pPr>
        <w:pBdr>
          <w:left w:val="single" w:color="999999" w:sz="12" w:space="8"/>
        </w:pBdr>
        <w:spacing w:after="120"/>
        <w:ind w:left="480"/>
      </w:pPr>
      <w:r>
        <w:rPr>
          <w:rFonts w:ascii="Calibri" w:cs="Calibri" w:eastAsia="Calibri" w:hAnsi="Calibri"/>
          <w:i/>
          <w:iCs/>
          <w:sz w:val="20"/>
          <w:szCs w:val="20"/>
        </w:rPr>
        <w:t xml:space="preserve">“...it appears that Inka khipukamayuqs were in widespread agreement about what each color sign meant and how it was used (p.25).”</w:t>
      </w:r>
    </w:p>
    <w:p>
      <w:pPr>
        <w:pBdr>
          <w:left w:val="single" w:color="999999" w:sz="12" w:space="8"/>
        </w:pBdr>
        <w:spacing w:after="120"/>
        <w:ind w:left="480"/>
      </w:pPr>
      <w:r>
        <w:rPr>
          <w:rFonts w:ascii="Calibri" w:cs="Calibri" w:eastAsia="Calibri" w:hAnsi="Calibri"/>
          <w:i/>
          <w:iCs/>
          <w:sz w:val="20"/>
          <w:szCs w:val="20"/>
        </w:rPr>
        <w:t xml:space="preserve">“...the refinement set of colors seem to align with expectations that they had meanings associated [with] Inka royalty and the sacred (p.25) — nótese que, en este caso específico, el propio autor sí añade inmediatamente después: “these claims are still speculative and further research is needed to assess them more fully” (p.25), un ejemplo de calificación apropiada que se documenta como fortaleza en la sección 10.”</w:t>
      </w:r>
    </w:p>
    <w:p>
      <w:pPr>
        <w:spacing w:after="160"/>
        <w:jc w:val="both"/>
      </w:pPr>
      <w:r>
        <w:rPr>
          <w:rFonts w:ascii="Calibri" w:cs="Calibri" w:eastAsia="Calibri" w:hAnsi="Calibri"/>
          <w:sz w:val="22"/>
          <w:szCs w:val="22"/>
        </w:rPr>
        <w:t xml:space="preserve">La pregunta central de esta sección, formulada explícitamente como se pidió: ¿qué evidencia independiente demuestra que los clusters encontrados corresponden a categorías reales utilizadas por los khipukamayuq incas (y no solo a categorías reales del comportamiento estadístico de los datos de color registrados)? La respuesta, tras la lectura completa del paper, es: existe un solo punto de evidencia genuinamente independiente del propio pipeline estadístico — la correlación del 75% con las varas envueltas de Inkawasi (sección 16) —, y ese punto de evidencia proviene de un único sitio arqueológico. Para el resto de los 30 clusters, 127 “frases” y 20 “tópicos”, la evidencia de que corresponden a categorías reales usadas por los khipukamayuqs (y no solo a categorías matemáticamente coherentes según la representación KCCS + BERT elegida) es, estrictamente, del Nivel 3 (interpretación), no del Nivel 4 (significado confirmado).</w:t>
      </w:r>
    </w:p>
    <w:p>
      <w:pPr>
        <w:spacing w:after="160"/>
        <w:jc w:val="both"/>
      </w:pPr>
      <w:r>
        <w:rPr>
          <w:rFonts w:ascii="Calibri" w:cs="Calibri" w:eastAsia="Calibri" w:hAnsi="Calibri"/>
          <w:sz w:val="22"/>
          <w:szCs w:val="22"/>
        </w:rPr>
        <w:t xml:space="preserve">Esto no significa que la interpretación de Nivel 4 sea errónea — significa que, con la evidencia presentada en este paper específicamente, permanece como hipótesis fundamentada pero no demostrada en el sentido fuerte que algunas frases del Abstract y la Conclusión podrían sugerir a un lector que no distinga los cuatro niveles.</w:t>
      </w:r>
    </w:p>
    <w:p>
      <w:pPr>
        <w:pStyle w:val="Heading1"/>
        <w:pageBreakBefore/>
        <w:spacing w:after="240" w:before="480"/>
      </w:pPr>
      <w:r>
        <w:t xml:space="preserve">8. ¿Qué nos dicen realmente los clusters (y qué no)?</w:t>
      </w:r>
    </w:p>
    <w:p>
      <w:pPr>
        <w:pStyle w:val="Heading2"/>
        <w:spacing w:after="160" w:before="340"/>
      </w:pPr>
      <w:r>
        <w:t xml:space="preserve">8.1 ¿Qué variables determinan cada cluster?</w:t>
      </w:r>
    </w:p>
    <w:p>
      <w:pPr>
        <w:spacing w:after="160"/>
        <w:jc w:val="both"/>
      </w:pPr>
      <w:r>
        <w:rPr>
          <w:rFonts w:ascii="Calibri" w:cs="Calibri" w:eastAsia="Calibri" w:hAnsi="Calibri"/>
          <w:sz w:val="22"/>
          <w:szCs w:val="22"/>
        </w:rPr>
        <w:t xml:space="preserve">Una sola variable de entrada: el código de color KCCS de cada cuerda, en su posición dentro de su grupo de cuerdas (más los símbolos de combinación de color: moteado, poste de barbero, segmentado). Ninguna otra característica de la cuerda (nudo, longitud, material, hilado) participa en la formación de los clusters.</w:t>
      </w:r>
    </w:p>
    <w:p>
      <w:pPr>
        <w:pStyle w:val="Heading2"/>
        <w:spacing w:after="160" w:before="340"/>
      </w:pPr>
      <w:r>
        <w:t xml:space="preserve">8.2 ¿Qué similitud se está midiendo?</w:t>
      </w:r>
    </w:p>
    <w:p>
      <w:pPr>
        <w:spacing w:after="160"/>
        <w:jc w:val="both"/>
      </w:pPr>
      <w:r>
        <w:rPr>
          <w:rFonts w:ascii="Calibri" w:cs="Calibri" w:eastAsia="Calibri" w:hAnsi="Calibri"/>
          <w:sz w:val="22"/>
          <w:szCs w:val="22"/>
        </w:rPr>
        <w:t xml:space="preserve">Similitud coseno entre vectores de 3072 dimensiones que representan “en qué contextos de colores vecinos aparece esta cuerda”. Es, estrictamente, una medida de similitud distribucional (co-ocurrencia), no una medida de similitud perceptual de color (dos colores muy distintos a la vista podrían, en principio, tener alta similitud coseno si aparecen siempre en los mismos contextos; y dos colores parecidos a la vista podrían tener baja similitud coseno si se usan en contextos distintos). El paper aprovecha exactamente esta propiedad para argumentar polisemia — es coherente con el diseño — pero es importante para el lector no confundir “similitud de embedding” con “similitud de color percibido”.</w:t>
      </w:r>
    </w:p>
    <w:p>
      <w:pPr>
        <w:pStyle w:val="Heading2"/>
        <w:spacing w:after="160" w:before="340"/>
      </w:pPr>
      <w:r>
        <w:t xml:space="preserve">8.3 ¿Qué significa (y qué NO significa) estar en el mismo cluster?</w:t>
      </w:r>
    </w:p>
    <w:p>
      <w:pPr>
        <w:spacing w:after="160"/>
        <w:jc w:val="both"/>
      </w:pPr>
      <w:r>
        <w:rPr>
          <w:rFonts w:ascii="Calibri" w:cs="Calibri" w:eastAsia="Calibri" w:hAnsi="Calibri"/>
          <w:b/>
          <w:bCs/>
          <w:sz w:val="22"/>
          <w:szCs w:val="22"/>
        </w:rPr>
        <w:t xml:space="preserve">Significa: </w:t>
      </w:r>
      <w:r>
        <w:rPr>
          <w:rFonts w:ascii="Calibri" w:cs="Calibri" w:eastAsia="Calibri" w:hAnsi="Calibri"/>
          <w:sz w:val="22"/>
          <w:szCs w:val="22"/>
        </w:rPr>
        <w:t xml:space="preserve">Que, según la muestra de contextos disponible en el OKR, dos usos de colores (iguales o distintos) tienden a aparecer rodeados de patrones de colores vecinos estadísticamente parecidos.</w:t>
      </w:r>
    </w:p>
    <w:p>
      <w:pPr>
        <w:spacing w:after="160"/>
        <w:jc w:val="both"/>
      </w:pPr>
      <w:r>
        <w:rPr>
          <w:rFonts w:ascii="Calibri" w:cs="Calibri" w:eastAsia="Calibri" w:hAnsi="Calibri"/>
          <w:b/>
          <w:bCs/>
          <w:sz w:val="22"/>
          <w:szCs w:val="22"/>
        </w:rPr>
        <w:t xml:space="preserve">No significa automáticamente: </w:t>
      </w:r>
      <w:r>
        <w:rPr>
          <w:rFonts w:ascii="Calibri" w:cs="Calibri" w:eastAsia="Calibri" w:hAnsi="Calibri"/>
          <w:sz w:val="22"/>
          <w:szCs w:val="22"/>
        </w:rPr>
        <w:t xml:space="preserve">(a) que los khipukamayuqs incas hayan concebido esos dos usos como “la misma idea”; (b) que la co-ocurrencia sea intencional y no un subproducto de otra variable no modelada (p.ej. género administrativo del khipu, rol aritmético de la cuerda, procedencia geográfica, ver sección 3.2); (c) que el número de clusters (30, 127, 20) sea un número “real” de categorías nativas, en vez de un artefacto de los umbrales de HDBSCAN elegidos.</w:t>
      </w:r>
    </w:p>
    <w:p>
      <w:pPr>
        <w:pStyle w:val="Heading2"/>
        <w:spacing w:after="160" w:before="340"/>
      </w:pPr>
      <w:r>
        <w:t xml:space="preserve">8.4 ¿Existe validación externa, arqueológica, lingüística o histórica independiente?</w:t>
      </w:r>
    </w:p>
    <w:p>
      <w:pPr>
        <w:spacing w:after="160"/>
        <w:jc w:val="both"/>
      </w:pPr>
      <w:r>
        <w:rPr>
          <w:rFonts w:ascii="Calibri" w:cs="Calibri" w:eastAsia="Calibri" w:hAnsi="Calibri"/>
          <w:sz w:val="22"/>
          <w:szCs w:val="22"/>
        </w:rPr>
        <w:t xml:space="preserve">Solo parcialmente, y concentrada en un único punto: las varas envueltas de Inkawasi (sección 16). No se identificó en el texto ninguna validación independiente para los 127 clusters de “frase” ni para los 20 clusters de “tópico” — estos se validan únicamente por su recurrencia interna dentro del propio OKR (aparecer en múltiples khipus y procedencias), lo cual es evidencia de consistencia estadística, no de correspondencia con una categoría histórica confirmada por una fuente independiente del propio corpus de datos de color.</w:t>
      </w:r>
    </w:p>
    <w:p>
      <w:pPr>
        <w:pStyle w:val="Heading2"/>
        <w:spacing w:after="160" w:before="340"/>
      </w:pPr>
      <w:r>
        <w:t xml:space="preserve">8.5 ¿Podría el cluster ser simplemente consecuencia de las features seleccionadas?</w:t>
      </w:r>
    </w:p>
    <w:p>
      <w:pPr>
        <w:spacing w:after="160"/>
        <w:jc w:val="both"/>
      </w:pPr>
      <w:r>
        <w:rPr>
          <w:rFonts w:ascii="Calibri" w:cs="Calibri" w:eastAsia="Calibri" w:hAnsi="Calibri"/>
          <w:sz w:val="22"/>
          <w:szCs w:val="22"/>
        </w:rPr>
        <w:t xml:space="preserve">Sí, es una posibilidad abierta y razonable que el paper no descarta con un experimento dedicado (ver sección 3.2 sobre controles de permutación ausentes). Dado que la única feature de entrada es el color, cualquier estructura descubierta es, por construcción, una estructura “condicionada al color” — el paper no puede, con este diseño, distinguir entre “el color es la variable causal del significado” y “el color es un correlato observable de otra variable causal no modelada (función administrativa, rol aritmético, procedencia) que es la que realmente organiza el sistema”.</w:t>
      </w:r>
    </w:p>
    <w:p>
      <w:pPr>
        <w:pStyle w:val="Heading2"/>
        <w:spacing w:after="160" w:before="340"/>
      </w:pPr>
      <w:r>
        <w:t xml:space="preserve">8.6 Formulación directa de la pregunta central de esta sección</w:t>
      </w:r>
    </w:p>
    <w:p>
      <w:pPr>
        <w:spacing w:after="160"/>
        <w:jc w:val="both"/>
      </w:pPr>
      <w:r>
        <w:rPr>
          <w:rFonts w:ascii="Calibri" w:cs="Calibri" w:eastAsia="Calibri" w:hAnsi="Calibri"/>
          <w:sz w:val="22"/>
          <w:szCs w:val="22"/>
        </w:rPr>
        <w:t xml:space="preserve">¿El algoritmo descubrió una categoría del sistema de khipus, o simplemente encontró elementos matemáticamente similares según la representación elegida? La respuesta más precisa, a partir de la evidencia disponible en el propio paper, es: el algoritmo encontró, de forma técnicamente sólida, elementos matemáticamente similares según la representación elegida (KCCS + contexto BERT). Que esos elementos correspondan además a categorías del sistema de khipus tal como lo concebían los khipukamayuqs incas es una hipótesis razonable, parcialmente corroborada por un punto de evidencia material independiente (las varas de Inkawasi) y por la consistencia con literatura previa (Clindaniel 2019; Calancha 1638), pero no una equivalencia demostrada de forma general para el conjunto completo de resultados.</w:t>
      </w:r>
    </w:p>
    <w:p>
      <w:pPr>
        <w:pStyle w:val="Heading1"/>
        <w:pageBreakBefore/>
        <w:spacing w:after="240" w:before="480"/>
      </w:pPr>
      <w:r>
        <w:t xml:space="preserve">9. Explicaciones alternativas para los resultados principales</w:t>
      </w:r>
    </w:p>
    <w:p>
      <w:pPr>
        <w:spacing w:after="160"/>
        <w:jc w:val="both"/>
      </w:pPr>
      <w:r>
        <w:rPr>
          <w:rFonts w:ascii="Calibri" w:cs="Calibri" w:eastAsia="Calibri" w:hAnsi="Calibri"/>
          <w:sz w:val="22"/>
          <w:szCs w:val="22"/>
        </w:rPr>
        <w:t xml:space="preserve">Para cada resultado importante, se construye al menos una explicación alternativa razonable a la que ofrece el autor, sin afirmar que sea la correcta, siguiendo estrictamente el formato solicitado.</w:t>
      </w:r>
    </w:p>
    <w:p>
      <w:pPr>
        <w:pStyle w:val="Heading3"/>
        <w:spacing w:after="120" w:before="240"/>
      </w:pPr>
      <w:r>
        <w:t xml:space="preserve">Resultado: 79% de las cuerdas caen en 30 clusters semánticos (p.12)</w:t>
      </w:r>
    </w:p>
    <w:p>
      <w:pPr>
        <w:spacing w:after="160"/>
        <w:jc w:val="both"/>
      </w:pPr>
      <w:r>
        <w:rPr>
          <w:rFonts w:ascii="Calibri" w:cs="Calibri" w:eastAsia="Calibri" w:hAnsi="Calibri"/>
          <w:b/>
          <w:bCs/>
          <w:sz w:val="22"/>
          <w:szCs w:val="22"/>
        </w:rPr>
        <w:t xml:space="preserve">Interpretación del autor: </w:t>
      </w:r>
      <w:r>
        <w:rPr>
          <w:rFonts w:ascii="Calibri" w:cs="Calibri" w:eastAsia="Calibri" w:hAnsi="Calibri"/>
          <w:sz w:val="22"/>
          <w:szCs w:val="22"/>
        </w:rPr>
        <w:t xml:space="preserve">Existen categorías estructurales reales de color en el sistema de khipus incas, y el algoritmo las ha descubierto.</w:t>
      </w:r>
    </w:p>
    <w:p>
      <w:pPr>
        <w:spacing w:after="160"/>
        <w:jc w:val="both"/>
      </w:pPr>
      <w:r>
        <w:rPr>
          <w:rFonts w:ascii="Calibri" w:cs="Calibri" w:eastAsia="Calibri" w:hAnsi="Calibri"/>
          <w:b/>
          <w:bCs/>
          <w:sz w:val="22"/>
          <w:szCs w:val="22"/>
        </w:rPr>
        <w:t xml:space="preserve">Explicación alternativa: </w:t>
      </w:r>
      <w:r>
        <w:rPr>
          <w:rFonts w:ascii="Calibri" w:cs="Calibri" w:eastAsia="Calibri" w:hAnsi="Calibri"/>
          <w:sz w:val="22"/>
          <w:szCs w:val="22"/>
        </w:rPr>
        <w:t xml:space="preserve">El color de cuerda, como cualquier variable categórica con una distribución de frecuencia muy desigual (unos pocos colores —blanco, marrones, negro— dominan el 81% del corpus, p.20), tiende casi inevitablemente a producir agrupamientos estadísticos claros en cualquier técnica de clustering, simplemente porque los colores frecuentes co-ocurren frecuentemente entre sí por razones triviales de frecuencia base, no necesariamente por convención semántica.</w:t>
      </w:r>
    </w:p>
    <w:p>
      <w:pPr>
        <w:spacing w:after="160"/>
        <w:jc w:val="both"/>
      </w:pPr>
      <w:r>
        <w:rPr>
          <w:rFonts w:ascii="Calibri" w:cs="Calibri" w:eastAsia="Calibri" w:hAnsi="Calibri"/>
          <w:b/>
          <w:bCs/>
          <w:sz w:val="22"/>
          <w:szCs w:val="22"/>
        </w:rPr>
        <w:t xml:space="preserve">¿El paper distingue entre ambas?: </w:t>
      </w:r>
      <w:r>
        <w:rPr>
          <w:rFonts w:ascii="Calibri" w:cs="Calibri" w:eastAsia="Calibri" w:hAnsi="Calibri"/>
          <w:sz w:val="22"/>
          <w:szCs w:val="22"/>
        </w:rPr>
        <w:t xml:space="preserve">Parcialmente. El hallazgo de que colores frecuentes y colores raros ocupan regiones de embedding distintas y bien separadas (Figura 5) es un argumento en contra de la explicación puramente frecuencial (si fuera solo frecuencia, esperaríamos un continuo, no fronteras nítidas). Pero no hay un experimento de control con datos permutados que aísle este efecto de forma concluyente (ver sección 3.2).</w:t>
      </w:r>
    </w:p>
    <w:p>
      <w:pPr>
        <w:pStyle w:val="Heading3"/>
        <w:spacing w:after="120" w:before="240"/>
      </w:pPr>
      <w:r>
        <w:t xml:space="preserve">Resultado: KH0503 y KH0491 caen en clusters de “tópico” distintos pese a usar colores similares (p.22)</w:t>
      </w:r>
    </w:p>
    <w:p>
      <w:pPr>
        <w:spacing w:after="160"/>
        <w:jc w:val="both"/>
      </w:pPr>
      <w:r>
        <w:rPr>
          <w:rFonts w:ascii="Calibri" w:cs="Calibri" w:eastAsia="Calibri" w:hAnsi="Calibri"/>
          <w:b/>
          <w:bCs/>
          <w:sz w:val="22"/>
          <w:szCs w:val="22"/>
        </w:rPr>
        <w:t xml:space="preserve">Interpretación del autor: </w:t>
      </w:r>
      <w:r>
        <w:rPr>
          <w:rFonts w:ascii="Calibri" w:cs="Calibri" w:eastAsia="Calibri" w:hAnsi="Calibri"/>
          <w:sz w:val="22"/>
          <w:szCs w:val="22"/>
        </w:rPr>
        <w:t xml:space="preserve">El algoritmo distinguió correctamente dos khipus con funciones/genero distintos, validando su capacidad de captar diferencias reales de significado.</w:t>
      </w:r>
    </w:p>
    <w:p>
      <w:pPr>
        <w:spacing w:after="160"/>
        <w:jc w:val="both"/>
      </w:pPr>
      <w:r>
        <w:rPr>
          <w:rFonts w:ascii="Calibri" w:cs="Calibri" w:eastAsia="Calibri" w:hAnsi="Calibri"/>
          <w:b/>
          <w:bCs/>
          <w:sz w:val="22"/>
          <w:szCs w:val="22"/>
        </w:rPr>
        <w:t xml:space="preserve">Explicación alternativa: </w:t>
      </w:r>
      <w:r>
        <w:rPr>
          <w:rFonts w:ascii="Calibri" w:cs="Calibri" w:eastAsia="Calibri" w:hAnsi="Calibri"/>
          <w:sz w:val="22"/>
          <w:szCs w:val="22"/>
        </w:rPr>
        <w:t xml:space="preserve">Ambos khipus podrían diferir en cualquier variable correlacionada con el orden y frecuencia relativa del color sin que esa diferencia tenga que ver con “significado” en sentido fuerte — por ejemplo, podrían diferir simplemente en la proporción exacta blanco/marrón claro/marrón medio, un patrón cuantitativo que el modelo captura bien pero que podría reflejar variación cuantitativa en la práctica de registro entre dos khipus del mismo archivo, no una distinción semántica categórica.</w:t>
      </w:r>
    </w:p>
    <w:p>
      <w:pPr>
        <w:spacing w:after="160"/>
        <w:jc w:val="both"/>
      </w:pPr>
      <w:r>
        <w:rPr>
          <w:rFonts w:ascii="Calibri" w:cs="Calibri" w:eastAsia="Calibri" w:hAnsi="Calibri"/>
          <w:b/>
          <w:bCs/>
          <w:sz w:val="22"/>
          <w:szCs w:val="22"/>
        </w:rPr>
        <w:t xml:space="preserve">¿El paper distingue entre ambas?: </w:t>
      </w:r>
      <w:r>
        <w:rPr>
          <w:rFonts w:ascii="Calibri" w:cs="Calibri" w:eastAsia="Calibri" w:hAnsi="Calibri"/>
          <w:sz w:val="22"/>
          <w:szCs w:val="22"/>
        </w:rPr>
        <w:t xml:space="preserve">Parcialmente: la corroboración con el análisis manual previo de la disertación de 2019 (que sí ofrece una explicación cualitativa, aritmética, para la diferencia) da peso a la interpretación del autor. Pero, como se señaló en la sección 8, esa validación no es independiente en sentido estricto — es el mismo autor confirmando que el modelo coincide con su propio análisis manual previo de los mismos dos khipus (ver también sección 8.4 y sección 25).</w:t>
      </w:r>
    </w:p>
    <w:p>
      <w:pPr>
        <w:pStyle w:val="Heading3"/>
        <w:spacing w:after="120" w:before="240"/>
      </w:pPr>
      <w:r>
        <w:t xml:space="preserve">Resultado: correlación del 75% con las varas envueltas de Inkawasi (p.26)</w:t>
      </w:r>
    </w:p>
    <w:p>
      <w:pPr>
        <w:spacing w:after="160"/>
        <w:jc w:val="both"/>
      </w:pPr>
      <w:r>
        <w:rPr>
          <w:rFonts w:ascii="Calibri" w:cs="Calibri" w:eastAsia="Calibri" w:hAnsi="Calibri"/>
          <w:b/>
          <w:bCs/>
          <w:sz w:val="22"/>
          <w:szCs w:val="22"/>
        </w:rPr>
        <w:t xml:space="preserve">Interpretación del autor: </w:t>
      </w:r>
      <w:r>
        <w:rPr>
          <w:rFonts w:ascii="Calibri" w:cs="Calibri" w:eastAsia="Calibri" w:hAnsi="Calibri"/>
          <w:sz w:val="22"/>
          <w:szCs w:val="22"/>
        </w:rPr>
        <w:t xml:space="preserve">Los khipukamayuqs incas usaban plantillas físicas de referencia para estandarizar convenciones de color a escala imperial, y el modelo ha aprendido la misma lógica de contraste.</w:t>
      </w:r>
    </w:p>
    <w:p>
      <w:pPr>
        <w:spacing w:after="160"/>
        <w:jc w:val="both"/>
      </w:pPr>
      <w:r>
        <w:rPr>
          <w:rFonts w:ascii="Calibri" w:cs="Calibri" w:eastAsia="Calibri" w:hAnsi="Calibri"/>
          <w:b/>
          <w:bCs/>
          <w:sz w:val="22"/>
          <w:szCs w:val="22"/>
        </w:rPr>
        <w:t xml:space="preserve">Explicación alternativa: </w:t>
      </w:r>
      <w:r>
        <w:rPr>
          <w:rFonts w:ascii="Calibri" w:cs="Calibri" w:eastAsia="Calibri" w:hAnsi="Calibri"/>
          <w:sz w:val="22"/>
          <w:szCs w:val="22"/>
        </w:rPr>
        <w:t xml:space="preserve">Las varas de Inkawasi y los khipus de Inkawasi provienen del mismo sitio, el mismo contexto de producción y, presumiblemente, del mismo taller o grupo reducido de khipukamayuqs contemporáneos entre sí. La correlación podría reflejar consistencia de práctica local/de taller en un momento y lugar específico, sin que ello implique necesariamente una convención “imperial” aplicada de forma uniforme en las demás procedencias del OKR (Puruchuco, Pachacamac, valle de Santa, etc.), que es la afirmación más amplia que el paper hace en otras secciones (“widespread agreement... throughout the Inka empire”, p.25).</w:t>
      </w:r>
    </w:p>
    <w:p>
      <w:pPr>
        <w:spacing w:after="160"/>
        <w:jc w:val="both"/>
      </w:pPr>
      <w:r>
        <w:rPr>
          <w:rFonts w:ascii="Calibri" w:cs="Calibri" w:eastAsia="Calibri" w:hAnsi="Calibri"/>
          <w:b/>
          <w:bCs/>
          <w:sz w:val="22"/>
          <w:szCs w:val="22"/>
        </w:rPr>
        <w:t xml:space="preserve">¿El paper distingue entre ambas?: </w:t>
      </w:r>
      <w:r>
        <w:rPr>
          <w:rFonts w:ascii="Calibri" w:cs="Calibri" w:eastAsia="Calibri" w:hAnsi="Calibri"/>
          <w:sz w:val="22"/>
          <w:szCs w:val="22"/>
        </w:rPr>
        <w:t xml:space="preserve">No de forma explícita en este punto específico. El argumento de “consistencia imperial amplia” se apoya en un análisis separado (Figura 10-11, consistencia geográfica entre procedencias, sección 16 de este documento), no en las varas de Inkawasi en sí, que solo pueden hablar directamente de Inkawasi. El paper combina ambas líneas de evidencia en su narrativa de discusión, pero cada una responde, estrictamente, una pregunta de alcance distinto (local vs. imperial).</w:t>
      </w:r>
    </w:p>
    <w:p>
      <w:pPr>
        <w:pStyle w:val="Heading3"/>
        <w:spacing w:after="120" w:before="240"/>
      </w:pPr>
      <w:r>
        <w:t xml:space="preserve">Resultado: la mayoría de los colores muestra polisemia, no monosemia (p.16-19)</w:t>
      </w:r>
    </w:p>
    <w:p>
      <w:pPr>
        <w:spacing w:after="160"/>
        <w:jc w:val="both"/>
      </w:pPr>
      <w:r>
        <w:rPr>
          <w:rFonts w:ascii="Calibri" w:cs="Calibri" w:eastAsia="Calibri" w:hAnsi="Calibri"/>
          <w:b/>
          <w:bCs/>
          <w:sz w:val="22"/>
          <w:szCs w:val="22"/>
        </w:rPr>
        <w:t xml:space="preserve">Interpretación del autor: </w:t>
      </w:r>
      <w:r>
        <w:rPr>
          <w:rFonts w:ascii="Calibri" w:cs="Calibri" w:eastAsia="Calibri" w:hAnsi="Calibri"/>
          <w:sz w:val="22"/>
          <w:szCs w:val="22"/>
        </w:rPr>
        <w:t xml:space="preserve">El sistema de color del khipu funciona como el lenguaje natural, donde las palabras se extienden creativamente a sentidos relacionados.</w:t>
      </w:r>
    </w:p>
    <w:p>
      <w:pPr>
        <w:spacing w:after="160"/>
        <w:jc w:val="both"/>
      </w:pPr>
      <w:r>
        <w:rPr>
          <w:rFonts w:ascii="Calibri" w:cs="Calibri" w:eastAsia="Calibri" w:hAnsi="Calibri"/>
          <w:b/>
          <w:bCs/>
          <w:sz w:val="22"/>
          <w:szCs w:val="22"/>
        </w:rPr>
        <w:t xml:space="preserve">Explicación alternativa: </w:t>
      </w:r>
      <w:r>
        <w:rPr>
          <w:rFonts w:ascii="Calibri" w:cs="Calibri" w:eastAsia="Calibri" w:hAnsi="Calibri"/>
          <w:sz w:val="22"/>
          <w:szCs w:val="22"/>
        </w:rPr>
        <w:t xml:space="preserve">La “polisemia” medida por el modelo (múltiples picos o colas largas en los histogramas de similitud coseno) también sería el resultado esperado si el mismo color se usa en khipus de géneros administrativos distintos (contabilidad laboral vs. de almacén, con sus propias convenciones internas, ya documentadas como distintas entre sí por Clindaniel 2019 y Medrano y Khosla 2024) — es decir, lo que el modelo interpreta como “un color con varios sentidos relacionados” podría ser, en parte, “un color con un sentido distinto y consistente dentro de cada género administrativo, mezclados en un solo análisis agregado que no controla por género”.</w:t>
      </w:r>
    </w:p>
    <w:p>
      <w:pPr>
        <w:spacing w:after="160"/>
        <w:jc w:val="both"/>
      </w:pPr>
      <w:r>
        <w:rPr>
          <w:rFonts w:ascii="Calibri" w:cs="Calibri" w:eastAsia="Calibri" w:hAnsi="Calibri"/>
          <w:b/>
          <w:bCs/>
          <w:sz w:val="22"/>
          <w:szCs w:val="22"/>
        </w:rPr>
        <w:t xml:space="preserve">¿El paper distingue entre ambas?: </w:t>
      </w:r>
      <w:r>
        <w:rPr>
          <w:rFonts w:ascii="Calibri" w:cs="Calibri" w:eastAsia="Calibri" w:hAnsi="Calibri"/>
          <w:sz w:val="22"/>
          <w:szCs w:val="22"/>
        </w:rPr>
        <w:t xml:space="preserve">No. El modelo no incorpora el género/función del khipu como variable, ni segmenta el análisis de polisemia por género administrativo, pese a que el propio paper reconoce en su introducción que hay “genre-specific differences in the way color patterns denoted meaning” (p.3, sobre Inkawasi vs. Anchucaya). Esta es una omisión metodológica concreta y verificable (ver también sección 13, limitaciones no discutidas).</w:t>
      </w:r>
    </w:p>
    <w:p>
      <w:pPr>
        <w:spacing w:after="160"/>
        <w:jc w:val="both"/>
      </w:pPr>
      <w:r>
        <w:rPr>
          <w:rFonts w:ascii="Calibri" w:cs="Calibri" w:eastAsia="Calibri" w:hAnsi="Calibri"/>
          <w:sz w:val="22"/>
          <w:szCs w:val="22"/>
        </w:rPr>
        <w:t xml:space="preserve">Clasificación general de esta sección: Categoría A para todas las alternativas (ninguna requiere conocimiento externo de khipus más allá del que el propio paper ya cita; se derivan directamente de leer con cuidado qué variables entraron y cuáles no entraron al modelo).</w:t>
      </w:r>
    </w:p>
    <w:p>
      <w:pPr>
        <w:pStyle w:val="Heading1"/>
        <w:pageBreakBefore/>
        <w:spacing w:after="240" w:before="480"/>
      </w:pPr>
      <w:r>
        <w:t xml:space="preserve">10. ¿Es el autor demasiado optimista? Tabla de afirmaciones fuertes</w:t>
      </w:r>
    </w:p>
    <w:p>
      <w:pPr>
        <w:spacing w:after="160"/>
        <w:jc w:val="both"/>
      </w:pPr>
      <w:r>
        <w:rPr>
          <w:rFonts w:ascii="Calibri" w:cs="Calibri" w:eastAsia="Calibri" w:hAnsi="Calibri"/>
          <w:sz w:val="22"/>
          <w:szCs w:val="22"/>
        </w:rPr>
        <w:t xml:space="preserve">Se identificaron todas las oraciones del paper que usan verbos de afirmación fuerte (“reveals”, “demonstrates”, “suggests”, “indicates”, “appears”, “underscore the importance of”) aplicados a una conclusión sobre significado o sistema, y se evaluó, para cada una, si el nivel de certeza del lenguaje usado corresponde al nivel de evidencia presentado. La tabla completa se presenta en la página siguiente (orientación horizontal para facilitar la lectura).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1500"/>
      </w:tblGrid>
      <w:tr>
        <w:trPr>
          <w:tblHeader/>
        </w:trPr>
        <w:tc>
          <w:tcPr>
            <w:tcW w:type="dxa" w:w="2200"/>
            <w:shd w:fill="8B2E2E" w:val="clear"/>
            <w:tcMar>
              <w:top w:type="dxa" w:w="60"/>
              <w:left w:type="dxa" w:w="80"/>
              <w:bottom w:type="dxa" w:w="60"/>
              <w:right w:type="dxa" w:w="80"/>
            </w:tcMar>
          </w:tcPr>
          <w:p>
            <w:r>
              <w:rPr>
                <w:rFonts w:ascii="Calibri" w:cs="Calibri" w:eastAsia="Calibri" w:hAnsi="Calibri"/>
                <w:b/>
                <w:bCs/>
                <w:color w:val="FFFFFF"/>
                <w:sz w:val="16"/>
                <w:szCs w:val="16"/>
              </w:rPr>
              <w:t xml:space="preserve">Afirmación del autor</w:t>
            </w:r>
          </w:p>
        </w:tc>
        <w:tc>
          <w:tcPr>
            <w:tcW w:type="dxa" w:w="2000"/>
            <w:shd w:fill="8B2E2E" w:val="clear"/>
            <w:tcMar>
              <w:top w:type="dxa" w:w="60"/>
              <w:left w:type="dxa" w:w="80"/>
              <w:bottom w:type="dxa" w:w="60"/>
              <w:right w:type="dxa" w:w="80"/>
            </w:tcMar>
          </w:tcPr>
          <w:p>
            <w:r>
              <w:rPr>
                <w:rFonts w:ascii="Calibri" w:cs="Calibri" w:eastAsia="Calibri" w:hAnsi="Calibri"/>
                <w:b/>
                <w:bCs/>
                <w:color w:val="FFFFFF"/>
                <w:sz w:val="16"/>
                <w:szCs w:val="16"/>
              </w:rPr>
              <w:t xml:space="preserve">Evidencia utilizada</w:t>
            </w:r>
          </w:p>
        </w:tc>
        <w:tc>
          <w:tcPr>
            <w:tcW w:type="dxa" w:w="2000"/>
            <w:shd w:fill="8B2E2E" w:val="clear"/>
            <w:tcMar>
              <w:top w:type="dxa" w:w="60"/>
              <w:left w:type="dxa" w:w="80"/>
              <w:bottom w:type="dxa" w:w="60"/>
              <w:right w:type="dxa" w:w="80"/>
            </w:tcMar>
          </w:tcPr>
          <w:p>
            <w:r>
              <w:rPr>
                <w:rFonts w:ascii="Calibri" w:cs="Calibri" w:eastAsia="Calibri" w:hAnsi="Calibri"/>
                <w:b/>
                <w:bCs/>
                <w:color w:val="FFFFFF"/>
                <w:sz w:val="16"/>
                <w:szCs w:val="16"/>
              </w:rPr>
              <w:t xml:space="preserve">Qué demuestra realmente</w:t>
            </w:r>
          </w:p>
        </w:tc>
        <w:tc>
          <w:tcPr>
            <w:tcW w:type="dxa" w:w="2000"/>
            <w:shd w:fill="8B2E2E" w:val="clear"/>
            <w:tcMar>
              <w:top w:type="dxa" w:w="60"/>
              <w:left w:type="dxa" w:w="80"/>
              <w:bottom w:type="dxa" w:w="60"/>
              <w:right w:type="dxa" w:w="80"/>
            </w:tcMar>
          </w:tcPr>
          <w:p>
            <w:r>
              <w:rPr>
                <w:rFonts w:ascii="Calibri" w:cs="Calibri" w:eastAsia="Calibri" w:hAnsi="Calibri"/>
                <w:b/>
                <w:bCs/>
                <w:color w:val="FFFFFF"/>
                <w:sz w:val="16"/>
                <w:szCs w:val="16"/>
              </w:rPr>
              <w:t xml:space="preserve">Qué NO demuestra</w:t>
            </w:r>
          </w:p>
        </w:tc>
        <w:tc>
          <w:tcPr>
            <w:tcW w:type="dxa" w:w="1500"/>
            <w:shd w:fill="8B2E2E" w:val="clear"/>
            <w:tcMar>
              <w:top w:type="dxa" w:w="60"/>
              <w:left w:type="dxa" w:w="80"/>
              <w:bottom w:type="dxa" w:w="60"/>
              <w:right w:type="dxa" w:w="80"/>
            </w:tcMar>
          </w:tcPr>
          <w:p>
            <w:r>
              <w:rPr>
                <w:rFonts w:ascii="Calibri" w:cs="Calibri" w:eastAsia="Calibri" w:hAnsi="Calibri"/>
                <w:b/>
                <w:bCs/>
                <w:color w:val="FFFFFF"/>
                <w:sz w:val="16"/>
                <w:szCs w:val="16"/>
              </w:rPr>
              <w:t xml:space="preserve">¿Sobreinterpretación?</w:t>
            </w:r>
          </w:p>
        </w:tc>
      </w:tr>
      <w:tr>
        <w:trPr>
          <w:cantSplit w:val="false"/>
        </w:trPr>
        <w:tc>
          <w:tcPr>
            <w:tcW w:type="dxa" w:w="2200"/>
            <w:shd w:fill="F5EDED"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“My findings reveal a coherent system of color signs, wherein different colors occupy distinct, relationally-opposed semantic domains” (Abstract, p.1)</w:t>
            </w:r>
          </w:p>
        </w:tc>
        <w:tc>
          <w:tcPr>
            <w:tcW w:type="dxa" w:w="2000"/>
            <w:shd w:fill="F5EDED"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Clusters HDBSCAN (30) + similitud coseno entre colores promedio (Figura 5)</w:t>
            </w:r>
          </w:p>
        </w:tc>
        <w:tc>
          <w:tcPr>
            <w:tcW w:type="dxa" w:w="2000"/>
            <w:shd w:fill="F5EDED"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Existe estructura estadística no aleatoria y reproducible en cómo co-ocurren los colores; los colores frecuentes ocupan regiones distinguibles del espacio de embeddings</w:t>
            </w:r>
          </w:p>
        </w:tc>
        <w:tc>
          <w:tcPr>
            <w:tcW w:type="dxa" w:w="2000"/>
            <w:shd w:fill="F5EDED"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Que esa estructura corresponda a “signos” en sentido semiótico pleno (con objeto, interpretante y convención social intencional) usados conscientemente por los khipukamayuqs, en vez de ser un patrón estadístico de uso que aún no se sabe si fue intencional</w:t>
            </w:r>
          </w:p>
        </w:tc>
        <w:tc>
          <w:tcPr>
            <w:tcW w:type="dxa" w:w="1500"/>
            <w:shd w:fill="F5EDED"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Media — el término “sistema de signos” anticipa en el Abstract una conclusión (intencionalidad semiótica) que el cuerpo del paper matiza más cuidadosamente más adelante</w:t>
            </w:r>
          </w:p>
        </w:tc>
      </w:tr>
      <w:tr>
        <w:trPr>
          <w:cantSplit w:val="false"/>
        </w:trPr>
        <w:tc>
          <w:tcPr>
            <w:tcW w:type="dxa" w:w="22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“it appears that Inka khipukamayuqs were in widespread agreement about what each color sign meant and how it was used” (p.25)</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Baja divergencia geográfica: pocos khipus/procedencias “altamente divergentes” (Figuras 10-11)</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El uso estadístico del color es consistente entre procedencias geográficas dentro del OKR</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Que existiera acuerdo consciente (“agreement”) sobre el significado — consistencia de uso no es lo mismo que acuerdo intencional entre personas; también podría reflejar restricciones materiales compartidas (colores naturales disponibles) sin coordinación normativa</w:t>
            </w:r>
          </w:p>
        </w:tc>
        <w:tc>
          <w:tcPr>
            <w:tcW w:type="dxa" w:w="15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Alta — “agreement” es un término que implica intención comunicativa compartida, una interpretación fuerte para un dato que mide solo regularidad distribucional</w:t>
            </w:r>
          </w:p>
        </w:tc>
      </w:tr>
      <w:tr>
        <w:trPr>
          <w:cantSplit w:val="false"/>
        </w:trPr>
        <w:tc>
          <w:tcPr>
            <w:tcW w:type="dxa" w:w="2200"/>
            <w:shd w:fill="F5EDED"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“...the refinement set of colors seem to align with expectations that they had meanings associated [with] Inka royalty and the sacred” (p.25)</w:t>
            </w:r>
          </w:p>
        </w:tc>
        <w:tc>
          <w:tcPr>
            <w:tcW w:type="dxa" w:w="2000"/>
            <w:shd w:fill="F5EDED"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Coincidencia temática entre el “refinement set” del modelo y la lista de colores de Calancha (1638) para realeza/lo sagrado</w:t>
            </w:r>
          </w:p>
        </w:tc>
        <w:tc>
          <w:tcPr>
            <w:tcW w:type="dxa" w:w="2000"/>
            <w:shd w:fill="F5EDED"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Hay una coincidencia notable y sugerente entre una lista cronística de 1638 y un conjunto de colores estadísticamente raros y semánticamente cercanos entre sí en el modelo</w:t>
            </w:r>
          </w:p>
        </w:tc>
        <w:tc>
          <w:tcPr>
            <w:tcW w:type="dxa" w:w="2000"/>
            <w:shd w:fill="F5EDED"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Que el significado real de esos colores sea efectivamente “realeza y lo sagrado” — es una única fuente cronística, de fiabilidad debatida en la propia literatura de khipus, aplicada a un contexto (khipus administrativos arqueológicos) distinto al que describe Calancha (khipus narrativos/crónicas reales)</w:t>
            </w:r>
          </w:p>
        </w:tc>
        <w:tc>
          <w:tcPr>
            <w:tcW w:type="dxa" w:w="1500"/>
            <w:shd w:fill="F5EDED"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Baja — el propio autor califica explícitamente esta afirmación de especulativa (“these claims are still speculative and further research is needed”, p.25); es el ejemplo de mejor práctica epistémica de todo el paper</w:t>
            </w:r>
          </w:p>
        </w:tc>
      </w:tr>
      <w:tr>
        <w:trPr>
          <w:cantSplit w:val="false"/>
        </w:trPr>
        <w:tc>
          <w:tcPr>
            <w:tcW w:type="dxa" w:w="22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“These findings underscore the importance of approaching khipus as a sophisticated writing system akin to other linguistic media” (Conclusión, p.28-29)</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Los mismos clusters, más el argumento general de polisemia (30+ sentidos)</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Que el color de cuerda muestra un comportamiento distribucional comparable, en algunos aspectos formales, al de las palabras polisémicas de una lengua natural</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Que el khipu sea, en sentido pleno, un “sistema de escritura” — esta es una afirmación mucho más amplia y antigua, ya argumentada por el propio autor en 2019 sobre bases distintas (la definición inclusiva de escritura de Boone 2011); el paper de 2024 no repite ni actualiza ese argumento específico, solo aporta un dato adicional (polisemia de color) compatible con él</w:t>
            </w:r>
          </w:p>
        </w:tc>
        <w:tc>
          <w:tcPr>
            <w:tcW w:type="dxa" w:w="15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Alta — es la conclusión más fuerte de todo el paper y depende de una tesis (khipu=escritura) que este paper específico no argumenta de nuevo, sino que hereda sin reexaminar de trabajo previo del mismo autor</w:t>
            </w:r>
          </w:p>
        </w:tc>
      </w:tr>
      <w:tr>
        <w:trPr>
          <w:cantSplit w:val="false"/>
        </w:trPr>
        <w:tc>
          <w:tcPr>
            <w:tcW w:type="dxa" w:w="2200"/>
            <w:shd w:fill="F5EDED"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“Digitizing and incorporating khipus from different eras into the OKR... will enable additional computational comparisons... potentially unlocking new insights” (p.27)</w:t>
            </w:r>
          </w:p>
        </w:tc>
        <w:tc>
          <w:tcPr>
            <w:tcW w:type="dxa" w:w="2000"/>
            <w:shd w:fill="F5EDED"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Ninguna evidencia nueva — es una proyección a futuro, no una conclusión sobre datos ya analizados</w:t>
            </w:r>
          </w:p>
        </w:tc>
        <w:tc>
          <w:tcPr>
            <w:tcW w:type="dxa" w:w="2000"/>
            <w:shd w:fill="F5EDED"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Es una recomendación razonable de agenda de investigación</w:t>
            </w:r>
          </w:p>
        </w:tc>
        <w:tc>
          <w:tcPr>
            <w:tcW w:type="dxa" w:w="2000"/>
            <w:shd w:fill="F5EDED"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No aplica — no se presenta como hallazgo, sino como propuesta explícita de trabajo futuro</w:t>
            </w:r>
          </w:p>
        </w:tc>
        <w:tc>
          <w:tcPr>
            <w:tcW w:type="dxa" w:w="1500"/>
            <w:shd w:fill="F5EDED"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Ninguna — el autor distingue correctamente aquí entre lo que ya sabe y lo que propone investigar</w:t>
            </w:r>
          </w:p>
        </w:tc>
      </w:tr>
      <w:tr>
        <w:trPr>
          <w:cantSplit w:val="false"/>
        </w:trPr>
        <w:tc>
          <w:tcPr>
            <w:tcW w:type="dxa" w:w="22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“As one example of how the clustering algorithm has correctly distinguished different types of khipus, it has correctly distinguished... KH0503... KH0491” (p.22)</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Coincidencia entre el cluster de “tópico” asignado por el modelo y la interpretación manual previa del mismo autor (Clindaniel 2019) sobre los mismos dos khipus</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El modelo es consistente con el juicio experto previo del autor para este caso puntual</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Que se trate de una validación externa e independiente — es, en sentido estricto, una comparación con la propia interpretación previa del autor sobre el mismo par de especímenes que además motivaron parte del diseño teórico del estudio</w:t>
            </w:r>
          </w:p>
        </w:tc>
        <w:tc>
          <w:tcPr>
            <w:tcW w:type="dxa" w:w="15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Media — el término “correctly” presupone que la interpretación manual de 2019 es la verdad de referencia, cuando en realidad es también una interpretación (bien fundamentada, pero no una verdad independiente verificada por terceros)</w:t>
            </w:r>
          </w:p>
        </w:tc>
      </w:tr>
    </w:tbl>
    <w:p>
      <w:pPr>
        <w:pStyle w:val="Heading2"/>
        <w:spacing w:after="160" w:before="340"/>
      </w:pPr>
      <w:r>
        <w:t xml:space="preserve">10.1 Balance general de esta sección</w:t>
      </w:r>
    </w:p>
    <w:p>
      <w:pPr>
        <w:spacing w:after="160"/>
        <w:jc w:val="both"/>
      </w:pPr>
      <w:r>
        <w:rPr>
          <w:rFonts w:ascii="Calibri" w:cs="Calibri" w:eastAsia="Calibri" w:hAnsi="Calibri"/>
          <w:sz w:val="22"/>
          <w:szCs w:val="22"/>
        </w:rPr>
        <w:t xml:space="preserve">El patrón que emerge de esta tabla es específico, no generalizado: el paper no es uniformemente optimista. Es notablemente cuidadoso y explícito en calificar como “especulativas” sus afirmaciones más arriesgadas sobre significado cultural concreto (la conexión con Calancha, p.25), lo cual es una buena práctica epistémica que debe reconocerse. Sin embargo, es notablemente menos cuidadoso en tres lugares específicos: (a) el Abstract, donde el resumen de una página tiende a comprimir matices que sí aparecen en el cuerpo del texto; (b) la frase de cierre sobre “sistema de escritura” en la Conclusión, que reactiva una tesis más amplia y ya establecida en 2019 sin volver a argumentarla con la evidencia específica de este paper; y (c) el uso del verbo “correctly” al describir la validación con KH0503/KH0491, que da a una comparación con el propio juicio previo del autor una apariencia de validación externa objetiva que, en sentido estricto, no tiene.</w:t>
      </w:r>
    </w:p>
    <w:p>
      <w:pPr>
        <w:spacing w:after="160"/>
        <w:jc w:val="both"/>
      </w:pPr>
      <w:r>
        <w:rPr>
          <w:rFonts w:ascii="Calibri" w:cs="Calibri" w:eastAsia="Calibri" w:hAnsi="Calibri"/>
          <w:sz w:val="22"/>
          <w:szCs w:val="22"/>
        </w:rPr>
        <w:t xml:space="preserve">Esta sección no concluye que el paper “sea” optimista en general — concluye que el optimismo, cuando aparece, se concentra de forma predecible en los puntos de mayor visibilidad retórica (título, abstract, frase de cierre), que es precisamente donde un lector que no lea el paper completo formaría su impresión del nivel de certeza de los hallazgos.</w:t>
      </w:r>
    </w:p>
    <w:p>
      <w:pPr>
        <w:pStyle w:val="Heading1"/>
        <w:pageBreakBefore/>
        <w:spacing w:after="240" w:before="480"/>
      </w:pPr>
      <w:r>
        <w:t xml:space="preserve">11. Patrón, estructura, función, significado e intención: ¿el paper las distingue?</w:t>
      </w:r>
    </w:p>
    <w:p>
      <w:pPr>
        <w:spacing w:after="160"/>
        <w:jc w:val="both"/>
      </w:pPr>
      <w:r>
        <w:rPr>
          <w:rFonts w:ascii="Calibri" w:cs="Calibri" w:eastAsia="Calibri" w:hAnsi="Calibri"/>
          <w:sz w:val="22"/>
          <w:szCs w:val="22"/>
        </w:rPr>
        <w:t xml:space="preserve">Un algoritmo puede descubrir una regularidad estadística. Eso no implica automáticamente que sepamos qué significa esa regularidad, y tampoco implica que la regularidad haya sido producida con intención comunicativa. Esta sección evalúa si el paper mantiene esta distinción de forma consistente.</w:t>
      </w:r>
    </w:p>
    <w:p>
      <w:pPr>
        <w:pStyle w:val="Heading2"/>
        <w:spacing w:after="160" w:before="340"/>
      </w:pPr>
      <w:r>
        <w:t xml:space="preserve">11.1 Cinco niveles conceptuales distintos</w:t>
      </w:r>
    </w:p>
    <w:p>
      <w:pPr>
        <w:pStyle w:val="ListParagraph"/>
        <w:numPr>
          <w:ilvl w:val="0"/>
          <w:numId w:val="1"/>
        </w:numPr>
        <w:spacing w:after="90"/>
      </w:pPr>
      <w:r>
        <w:rPr>
          <w:rFonts w:ascii="Calibri" w:cs="Calibri" w:eastAsia="Calibri" w:hAnsi="Calibri"/>
          <w:b/>
          <w:bCs/>
          <w:sz w:val="22"/>
          <w:szCs w:val="22"/>
        </w:rPr>
        <w:t xml:space="preserve">Patrón: </w:t>
      </w:r>
      <w:r>
        <w:rPr>
          <w:rFonts w:ascii="Calibri" w:cs="Calibri" w:eastAsia="Calibri" w:hAnsi="Calibri"/>
          <w:sz w:val="22"/>
          <w:szCs w:val="22"/>
        </w:rPr>
        <w:t xml:space="preserve">una regularidad medible en los datos (p.ej. “el marrón claro tiende a co-ocurrir con el blanco”). El paper documenta patrones con rigor técnico.</w:t>
      </w:r>
    </w:p>
    <w:p>
      <w:pPr>
        <w:pStyle w:val="ListParagraph"/>
        <w:numPr>
          <w:ilvl w:val="0"/>
          <w:numId w:val="1"/>
        </w:numPr>
        <w:spacing w:after="90"/>
      </w:pPr>
      <w:r>
        <w:rPr>
          <w:rFonts w:ascii="Calibri" w:cs="Calibri" w:eastAsia="Calibri" w:hAnsi="Calibri"/>
          <w:b/>
          <w:bCs/>
          <w:sz w:val="22"/>
          <w:szCs w:val="22"/>
        </w:rPr>
        <w:t xml:space="preserve">Estructura: </w:t>
      </w:r>
      <w:r>
        <w:rPr>
          <w:rFonts w:ascii="Calibri" w:cs="Calibri" w:eastAsia="Calibri" w:hAnsi="Calibri"/>
          <w:sz w:val="22"/>
          <w:szCs w:val="22"/>
        </w:rPr>
        <w:t xml:space="preserve">una organización de los patrones en un sistema con relaciones internas (p.ej. los tres “conjuntos” fundacional/extensión/refinamiento). El paper también documenta esto de forma razonablemente cuidadosa, aunque la nomenclatura de los tres “conjuntos” es una propuesta original del autor, no una categoría verificada independientemente.</w:t>
      </w:r>
    </w:p>
    <w:p>
      <w:pPr>
        <w:pStyle w:val="ListParagraph"/>
        <w:numPr>
          <w:ilvl w:val="0"/>
          <w:numId w:val="1"/>
        </w:numPr>
        <w:spacing w:after="90"/>
      </w:pPr>
      <w:r>
        <w:rPr>
          <w:rFonts w:ascii="Calibri" w:cs="Calibri" w:eastAsia="Calibri" w:hAnsi="Calibri"/>
          <w:b/>
          <w:bCs/>
          <w:sz w:val="22"/>
          <w:szCs w:val="22"/>
        </w:rPr>
        <w:t xml:space="preserve">Función: </w:t>
      </w:r>
      <w:r>
        <w:rPr>
          <w:rFonts w:ascii="Calibri" w:cs="Calibri" w:eastAsia="Calibri" w:hAnsi="Calibri"/>
          <w:sz w:val="22"/>
          <w:szCs w:val="22"/>
        </w:rPr>
        <w:t xml:space="preserve">para qué se usaba la regularidad dentro del sistema de vida real de los khipukamayuqs (p.ej. distinguir sumandos de resultados). El paper alcanza este nivel solo indirectamente, apoyándose en literatura previa (Clindaniel 2019; Medrano y Khosla 2024) para los pocos casos donde la función se conoce independientemente (Inkawasi); para el resto del corpus, la función permanece inferida, no demostrada por este paper.</w:t>
      </w:r>
    </w:p>
    <w:p>
      <w:pPr>
        <w:pStyle w:val="ListParagraph"/>
        <w:numPr>
          <w:ilvl w:val="0"/>
          <w:numId w:val="1"/>
        </w:numPr>
        <w:spacing w:after="90"/>
      </w:pPr>
      <w:r>
        <w:rPr>
          <w:rFonts w:ascii="Calibri" w:cs="Calibri" w:eastAsia="Calibri" w:hAnsi="Calibri"/>
          <w:b/>
          <w:bCs/>
          <w:sz w:val="22"/>
          <w:szCs w:val="22"/>
        </w:rPr>
        <w:t xml:space="preserve">Significado: </w:t>
      </w:r>
      <w:r>
        <w:rPr>
          <w:rFonts w:ascii="Calibri" w:cs="Calibri" w:eastAsia="Calibri" w:hAnsi="Calibri"/>
          <w:sz w:val="22"/>
          <w:szCs w:val="22"/>
        </w:rPr>
        <w:t xml:space="preserve">qué concepto o referente denotaba cada color para un khipukamayuq inca (p.ej. “blanco = plata”, según Garcilaso). El paper, de forma consciente y explícita, NO alcanza este nivel para la gran mayoría de sus 30 clusters — y lo reconoce: “Regardless of whether we understand the meanings of these color signs yet, however...” (p.25). Esta es una distinción que el paper sí hace explícitamente en al menos este punto, lo cual es una fortaleza a reconocer.</w:t>
      </w:r>
    </w:p>
    <w:p>
      <w:pPr>
        <w:pStyle w:val="ListParagraph"/>
        <w:numPr>
          <w:ilvl w:val="0"/>
          <w:numId w:val="1"/>
        </w:numPr>
        <w:spacing w:after="90"/>
      </w:pPr>
      <w:r>
        <w:rPr>
          <w:rFonts w:ascii="Calibri" w:cs="Calibri" w:eastAsia="Calibri" w:hAnsi="Calibri"/>
          <w:b/>
          <w:bCs/>
          <w:sz w:val="22"/>
          <w:szCs w:val="22"/>
        </w:rPr>
        <w:t xml:space="preserve">Intención: </w:t>
      </w:r>
      <w:r>
        <w:rPr>
          <w:rFonts w:ascii="Calibri" w:cs="Calibri" w:eastAsia="Calibri" w:hAnsi="Calibri"/>
          <w:sz w:val="22"/>
          <w:szCs w:val="22"/>
        </w:rPr>
        <w:t xml:space="preserve">si la regularidad fue producida deliberadamente como señal comunicativa, y no como subproducto de otra restricción (disponibilidad de materiales, convención de taller, azar de conservación). El paper nunca alcanza este nivel de forma demostrada — lo más cercano es el argumento indirecto de la escuela de Cuzco de Murúa (p.25-26) y las varas envueltas de Inkawasi como “aids” de estandarización, ambos argumentos de plausibilidad histórica, no pruebas directas de intención comunicativa.</w:t>
      </w:r>
    </w:p>
    <w:p>
      <w:pPr>
        <w:pStyle w:val="Heading2"/>
        <w:spacing w:after="160" w:before="340"/>
      </w:pPr>
      <w:r>
        <w:t xml:space="preserve">11.2 Dónde el paper mezcla los niveles sin advertirlo</w:t>
      </w:r>
    </w:p>
    <w:p>
      <w:pPr>
        <w:spacing w:after="160"/>
        <w:jc w:val="both"/>
      </w:pPr>
      <w:r>
        <w:rPr>
          <w:rFonts w:ascii="Calibri" w:cs="Calibri" w:eastAsia="Calibri" w:hAnsi="Calibri"/>
          <w:sz w:val="22"/>
          <w:szCs w:val="22"/>
        </w:rPr>
        <w:t xml:space="preserve">El caso más claro es el uso del término “semantic domain” (dominio semántico) a lo largo de todo el paper, empezando por el título de una sección completa (“Semantic Relationships Between Colors”, p.15). “Semántico” es, en sentido estricto, un término del nivel de Significado (relación entre signo y concepto referido) o, como mínimo, de Función — pero lo que el paper mide directamente es Patrón/Estructura (posición relativa en un espacio de embeddings entrenado por co-ocurrencia). El paper usa la palabra “semantic” de forma consistente para describir lo que, medido de forma más conservadora, sería más precisamente descrito como “distribucional” o “contextual”. Esta elección terminológica no es necesariamente incorrecta —es una convención heredada directamente de la literatura de NLP en la que se basa el método (donde “semantic embedding space” es terminología estándar, ver Devlin et al. 2019, Harris 1954)—, pero tiene el efecto retórico de hacer que un resultado de Nivel Patrón/Estructura suene, para un lector no especializado, como un resultado de Nivel Significado.</w:t>
      </w:r>
    </w:p>
    <w:p>
      <w:pPr>
        <w:pStyle w:val="Heading2"/>
        <w:spacing w:after="160" w:before="340"/>
      </w:pPr>
      <w:r>
        <w:t xml:space="preserve">11.3 Consecuencia para la lectura del paper</w:t>
      </w:r>
    </w:p>
    <w:p>
      <w:pPr>
        <w:spacing w:after="160"/>
        <w:jc w:val="both"/>
      </w:pPr>
      <w:r>
        <w:rPr>
          <w:rFonts w:ascii="Calibri" w:cs="Calibri" w:eastAsia="Calibri" w:hAnsi="Calibri"/>
          <w:sz w:val="22"/>
          <w:szCs w:val="22"/>
        </w:rPr>
        <w:t xml:space="preserve">Esta distinción no invalida los resultados del paper — los patrones y la estructura documentados son, según la evaluación de este documento, sólidos dentro de sus propios términos (ver sección 21, tabla de fortalezas y debilidades). La consecuencia es más específica: cuando el título del paper y su conclusión hablan de un “sistema de signos coherente” y de khipus como “sistema de escritura”, un lector cuidadoso debe traducir mentalmente esas frases a lo que realmente se demostró (patrón y estructura distribucional, con función parcialmente corroborada solo en Inkawasi, y significado explícitamente no resuelto según el propio autor) para evitar sobreestimar cuánto se sabe hoy sobre qué “decían” los colores de un khipu inca.</w:t>
      </w:r>
    </w:p>
    <w:p>
      <w:pPr>
        <w:spacing w:after="160"/>
        <w:jc w:val="both"/>
      </w:pPr>
      <w:r>
        <w:rPr>
          <w:rFonts w:ascii="Calibri" w:cs="Calibri" w:eastAsia="Calibri" w:hAnsi="Calibri"/>
          <w:sz w:val="22"/>
          <w:szCs w:val="22"/>
        </w:rPr>
        <w:t xml:space="preserve">Clasificación: Categoría A. La propia estructura del paper (títulos de sección, terminología de “semantic” aplicada sistemáticamente a resultados de co-ocurrencia estadística) permite verificar esta conflación terminológica directamente en el texto, sin necesidad de apelar a conocimiento externo.</w:t>
      </w:r>
    </w:p>
    <w:p>
      <w:pPr>
        <w:pStyle w:val="Heading1"/>
        <w:pageBreakBefore/>
        <w:spacing w:after="240" w:before="480"/>
      </w:pPr>
      <w:r>
        <w:t xml:space="preserve">12. Uso del conocimiento existente sobre khipus para cuestionar los supuestos del paper</w:t>
      </w:r>
    </w:p>
    <w:p>
      <w:pPr>
        <w:spacing w:after="160"/>
        <w:jc w:val="both"/>
      </w:pPr>
      <w:r>
        <w:rPr>
          <w:rFonts w:ascii="Calibri" w:cs="Calibri" w:eastAsia="Calibri" w:hAnsi="Calibri"/>
          <w:sz w:val="22"/>
          <w:szCs w:val="22"/>
        </w:rPr>
        <w:t xml:space="preserve">Esta sección aplica, de forma sistemática, lo que ya se sabe por la literatura de khipus (revisada en el documento “Revisión Bibliográfica Quipus” de este mismo proyecto) para poner a prueba los supuestos del paper. Cada pregunta se responde con evidencia, no se deja como afirmación sin respaldo.</w:t>
      </w:r>
    </w:p>
    <w:p>
      <w:pPr>
        <w:pStyle w:val="Heading2"/>
        <w:spacing w:after="160" w:before="340"/>
      </w:pPr>
      <w:r>
        <w:t xml:space="preserve">12.1 ¿Todos los khipus tienen la misma función?</w:t>
      </w:r>
    </w:p>
    <w:p>
      <w:pPr>
        <w:spacing w:after="160"/>
        <w:jc w:val="both"/>
      </w:pPr>
      <w:r>
        <w:rPr>
          <w:rFonts w:ascii="Calibri" w:cs="Calibri" w:eastAsia="Calibri" w:hAnsi="Calibri"/>
          <w:sz w:val="22"/>
          <w:szCs w:val="22"/>
        </w:rPr>
        <w:t xml:space="preserve">No. La propia literatura ya revisada documenta géneros administrativos claramente distintos: contabilidad laboral (Puruchuco), contabilidad de almacén/tributaria (Inkawasi), posiblemente censal, además de quipus calendáricos, eclesiásticos coloniales, y la distinción “working” vs. “summary” propuesta cuantitativamente por Medrano y Khosla (2024). CI-2024 no estratifica su análisis por género administrativo y trata el corpus completo del OKR como una sola población homogénea para el entrenamiento del modelo. Esto es relevante porque, si el significado del color depende parcialmente del género (como el propio CI-2024 sugiere en su introducción, p.3, citando la diferencia entre Anchucaya y Inkawasi), agregar todos los géneros en un solo modelo podría diluir o mezclar patrones específicos de género en un promedio general — lo cual es coherente con el hallazgo de alta polisemia (una fuente adicional, no explorada, de la polisemia observada podría ser la heterogeneidad de género, no solo la creatividad semántica genuina).</w:t>
      </w:r>
    </w:p>
    <w:p>
      <w:pPr>
        <w:pStyle w:val="Heading2"/>
        <w:spacing w:after="160" w:before="340"/>
      </w:pPr>
      <w:r>
        <w:t xml:space="preserve">12.2 ¿Todos los khipus deben entenderse como textos?</w:t>
      </w:r>
    </w:p>
    <w:p>
      <w:pPr>
        <w:spacing w:after="160"/>
        <w:jc w:val="both"/>
      </w:pPr>
      <w:r>
        <w:rPr>
          <w:rFonts w:ascii="Calibri" w:cs="Calibri" w:eastAsia="Calibri" w:hAnsi="Calibri"/>
          <w:sz w:val="22"/>
          <w:szCs w:val="22"/>
        </w:rPr>
        <w:t xml:space="preserve">No hay consenso en la literatura revisada sobre esto — es, de hecho, una de las preguntas abiertas más antiguas del campo. Boone (2011, citada indirectamente a través de Clindaniel 2019) ofrece una definición inclusiva de “escritura” que permitiría llamar “texto” a un sistema semasiográfico no fonético; pero otros autores del corpus revisado (DeFrancis 1989, citado en Clindaniel 2019) exigen componente fonético para hablar de “escritura” en sentido estricto, y bajo ese criterio más restrictivo los khipus incas (que, según la propia disertación de Clindaniel 2019, no muestran evidencia de fonetismo, a diferencia de los khipus poscoloniales de Collata estudiados por Hyland 2017) no calificarían. La afirmación de la Conclusión de CI-2024 (“a sophisticated writing system akin to other linguistic media”) toma partido implícitamente por la definición inclusiva, sin volver a argumentar por qué esa definición es la correcta en este paper específico — hereda la posición ya fijada en su disertación de 2019.</w:t>
      </w:r>
    </w:p>
    <w:p>
      <w:pPr>
        <w:pStyle w:val="Heading2"/>
        <w:spacing w:after="160" w:before="340"/>
      </w:pPr>
      <w:r>
        <w:t xml:space="preserve">12.3 ¿El color necesariamente tiene un significado uniforme en todo el corpus?</w:t>
      </w:r>
    </w:p>
    <w:p>
      <w:pPr>
        <w:spacing w:after="160"/>
        <w:jc w:val="both"/>
      </w:pPr>
      <w:r>
        <w:rPr>
          <w:rFonts w:ascii="Calibri" w:cs="Calibri" w:eastAsia="Calibri" w:hAnsi="Calibri"/>
          <w:sz w:val="22"/>
          <w:szCs w:val="22"/>
        </w:rPr>
        <w:t xml:space="preserve">La evidencia ya revisada sugiere que no necesariamente: la propia disertación de Clindaniel (2019) documenta una excepción geográfica clara (Colesuyu, norte de Chile, donde el patrón color-magnitud esperado no se cumple, interpretado como zona de control inca débil/indirecto) y una excepción en dirección de nudo (Armatambo). CI-2024 sí realiza un análisis de consistencia geográfica (Figuras 10-11) y encuentra baja divergencia general — pero no cruza explícitamente sus resultados con las excepciones ya conocidas de su propio trabajo previo (¿Colesuyu o Armatambo aparecen entre los casos “altamente divergentes” de CI-2024? El texto no lo dice; sería una verificación de consistencia interna directa y no se realizó, o al menos no se reporta).</w:t>
      </w:r>
    </w:p>
    <w:p>
      <w:pPr>
        <w:pStyle w:val="Heading2"/>
        <w:spacing w:after="160" w:before="340"/>
      </w:pPr>
      <w:r>
        <w:t xml:space="preserve">12.4 ¿La posición tiene un significado universal?</w:t>
      </w:r>
    </w:p>
    <w:p>
      <w:pPr>
        <w:spacing w:after="160"/>
        <w:jc w:val="both"/>
      </w:pPr>
      <w:r>
        <w:rPr>
          <w:rFonts w:ascii="Calibri" w:cs="Calibri" w:eastAsia="Calibri" w:hAnsi="Calibri"/>
          <w:sz w:val="22"/>
          <w:szCs w:val="22"/>
        </w:rPr>
        <w:t xml:space="preserve">La literatura revisada sugiere que la posición sí importa, pero de forma jerárquica y anidada (khipu &gt; grupo de cuerdas &gt; cuerda &gt; nudo, según el propio marco de Clindaniel 2019, retomado explícitamente como pregunta abierta en CI-2024, p.27). El modelo de CI-2024 solo captura un nivel de esa jerarquía (posición dentro del grupo de cuerdas), dejando sin modelar los niveles superiores (posición del grupo dentro del khipu completo, respecto a la cuerda primaria) — el propio autor lo reconoce como pregunta futura, no como limitación oculta.</w:t>
      </w:r>
    </w:p>
    <w:p>
      <w:pPr>
        <w:pStyle w:val="Heading2"/>
        <w:spacing w:after="160" w:before="340"/>
      </w:pPr>
      <w:r>
        <w:t xml:space="preserve">12.5 ¿La repetición tiene necesariamente una función determinada?</w:t>
      </w:r>
    </w:p>
    <w:p>
      <w:pPr>
        <w:spacing w:after="160"/>
        <w:jc w:val="both"/>
      </w:pPr>
      <w:r>
        <w:rPr>
          <w:rFonts w:ascii="Calibri" w:cs="Calibri" w:eastAsia="Calibri" w:hAnsi="Calibri"/>
          <w:sz w:val="22"/>
          <w:szCs w:val="22"/>
        </w:rPr>
        <w:t xml:space="preserve">Según Hyland (2016) y Clindaniel (2019, con validación estadística p&lt;0.01), sí: banding (repetición) vs. seriación (alternancia) es una de las distinciones mejor validadas de toda la literatura de khipus, con función semántica documentada (individual vs. agregado). Como se detalló en la sección 5 de este documento, CI-2024 no aborda esta distinción de forma explícita, pese a que su propio autor la estableció estadísticamente cinco años antes.</w:t>
      </w:r>
    </w:p>
    <w:p>
      <w:pPr>
        <w:pStyle w:val="Heading2"/>
        <w:spacing w:after="160" w:before="340"/>
      </w:pPr>
      <w:r>
        <w:t xml:space="preserve">12.6 ¿Las secuencias de color representan siempre unidades lingüísticas (palabras)?</w:t>
      </w:r>
    </w:p>
    <w:p>
      <w:pPr>
        <w:spacing w:after="160"/>
        <w:jc w:val="both"/>
      </w:pPr>
      <w:r>
        <w:rPr>
          <w:rFonts w:ascii="Calibri" w:cs="Calibri" w:eastAsia="Calibri" w:hAnsi="Calibri"/>
          <w:sz w:val="22"/>
          <w:szCs w:val="22"/>
        </w:rPr>
        <w:t xml:space="preserve">Como se discutió en la sección 2, la literatura ya revisada (particularmente Medrano y Khosla 2024) demuestra que un marco explícitamente no lingüístico —puramente aritmético/relacional— también produce hallazgos robustos y reproducibles sobre el mismo tipo de datos, sin necesidad de la metáfora “color=palabra”. Esto no refuta el marco lingüístico de CI-2024, pero sí demuestra que no es la única lente productiva disponible para el mismo corpus.</w:t>
      </w:r>
    </w:p>
    <w:p>
      <w:pPr>
        <w:pStyle w:val="Heading2"/>
        <w:spacing w:after="160" w:before="340"/>
      </w:pPr>
      <w:r>
        <w:t xml:space="preserve">12.7 ¿Los khipus numéricos requieren otra representación?</w:t>
      </w:r>
    </w:p>
    <w:p>
      <w:pPr>
        <w:spacing w:after="160"/>
        <w:jc w:val="both"/>
      </w:pPr>
      <w:r>
        <w:rPr>
          <w:rFonts w:ascii="Calibri" w:cs="Calibri" w:eastAsia="Calibri" w:hAnsi="Calibri"/>
          <w:sz w:val="22"/>
          <w:szCs w:val="22"/>
        </w:rPr>
        <w:t xml:space="preserve">Ver sección 4 de este documento. La literatura revisada (Basel Khipu Report; Clindaniel 2019, p.11-12) documenta explícitamente que el 92% de las cuerdas del corpus siguen la notación numérica decimal estándar (“sistema lockeano”) — es decir, la inmensa mayoría de las cuerdas que CI-2024 analiza como “tokens de color” son, simultáneamente y de forma primaria según el resto de la literatura, portadoras de un valor numérico específico que CI-2024 no incorpora a su análisis.</w:t>
      </w:r>
    </w:p>
    <w:p>
      <w:pPr>
        <w:pStyle w:val="Heading2"/>
        <w:spacing w:after="160" w:before="340"/>
      </w:pPr>
      <w:r>
        <w:t xml:space="preserve">12.8 ¿Existe diversidad estructural entre khipus (más allá del color)?</w:t>
      </w:r>
    </w:p>
    <w:p>
      <w:pPr>
        <w:spacing w:after="160"/>
        <w:jc w:val="both"/>
      </w:pPr>
      <w:r>
        <w:rPr>
          <w:rFonts w:ascii="Calibri" w:cs="Calibri" w:eastAsia="Calibri" w:hAnsi="Calibri"/>
          <w:sz w:val="22"/>
          <w:szCs w:val="22"/>
        </w:rPr>
        <w:t xml:space="preserve">Sí, ampliamente documentada: presencia/ausencia de top cords, presencia/ausencia de kaytes, khipus fragmentarios vs. completos (24% del corpus con terminación “broken”, según Medrano y Khosla 2024), khipus con y sin cuerdas subsidiarias. CI-2024 no controla por ninguna de estas variables estructurales.</w:t>
      </w:r>
    </w:p>
    <w:p>
      <w:pPr>
        <w:pStyle w:val="Heading2"/>
        <w:spacing w:after="160" w:before="340"/>
      </w:pPr>
      <w:r>
        <w:t xml:space="preserve">12.9 ¿El contexto arqueológico modifica la interpretación?</w:t>
      </w:r>
    </w:p>
    <w:p>
      <w:pPr>
        <w:spacing w:after="160"/>
        <w:jc w:val="both"/>
      </w:pPr>
      <w:r>
        <w:rPr>
          <w:rFonts w:ascii="Calibri" w:cs="Calibri" w:eastAsia="Calibri" w:hAnsi="Calibri"/>
          <w:sz w:val="22"/>
          <w:szCs w:val="22"/>
        </w:rPr>
        <w:t xml:space="preserve">Sí, de forma central según toda la literatura revisada — el caso de Inkawasi (excavación controlada, contexto de almacén estatal, varas envueltas asociadas) es el ejemplo más citado precisamente porque su contexto arqueológico es excepcionalmente bien documentado en comparación con la mayoría de los khipus de museo del OKR, muchos de los cuales carecen de procedencia arqueológica precisa (adquiridos por compra o donación, con información de contexto limitada o nula). CI-2024 no distingue, en su análisis de consistencia geográfica, entre khipus con procedencia arqueológica controlada y khipus de colección sin contexto de excavación — trata ambos tipos de dato con el mismo peso evidencial.</w:t>
      </w:r>
    </w:p>
    <w:p>
      <w:pPr>
        <w:pStyle w:val="Heading2"/>
        <w:spacing w:after="160" w:before="340"/>
      </w:pPr>
      <w:r>
        <w:t xml:space="preserve">12.10 ¿Pueden dos estructuras visualmente similares tener funciones diferentes?</w:t>
      </w:r>
    </w:p>
    <w:p>
      <w:pPr>
        <w:spacing w:after="160"/>
        <w:jc w:val="both"/>
      </w:pPr>
      <w:r>
        <w:rPr>
          <w:rFonts w:ascii="Calibri" w:cs="Calibri" w:eastAsia="Calibri" w:hAnsi="Calibri"/>
          <w:sz w:val="22"/>
          <w:szCs w:val="22"/>
        </w:rPr>
        <w:t xml:space="preserve">Sí — este es, de hecho, el punto de partida explícito del propio paper: KH0503 y KH0491 “use similar colors overall” pero (según la interpretación previa del autor) codifican roles aritméticos distintos. El paper reconoce este fenómeno como motivación de su estudio, pero no lo generaliza como advertencia metodológica para el resto de sus 30 clusters — es decir, si dos khipus con “colores similares” pueden tener funciones distintas, ¿cuántos de los 30 clusters “de significado” podrían estar mezclando, sin saberlo, usos funcionalmente distintos que coinciden por casualidad en su perfil estadístico de color?</w:t>
      </w:r>
    </w:p>
    <w:p>
      <w:pPr>
        <w:pStyle w:val="Heading2"/>
        <w:spacing w:after="160" w:before="340"/>
      </w:pPr>
      <w:r>
        <w:t xml:space="preserve">12.11 Síntesis de esta sección</w:t>
      </w:r>
    </w:p>
    <w:p>
      <w:pPr>
        <w:spacing w:after="160"/>
        <w:jc w:val="both"/>
      </w:pPr>
      <w:r>
        <w:rPr>
          <w:rFonts w:ascii="Calibri" w:cs="Calibri" w:eastAsia="Calibri" w:hAnsi="Calibri"/>
          <w:sz w:val="22"/>
          <w:szCs w:val="22"/>
        </w:rPr>
        <w:t xml:space="preserve">Ninguna de estas diez preguntas, evaluada contra la literatura ya revisada de este mismo corpus bibliográfico, invalida el hallazgo central de CI-2024 (existe estructura no aleatoria en el uso del color). Pero, en conjunto, apuntan de forma consistente en la misma dirección: el modelo de CI-2024 es deliberadamente “ciego” a casi todas las variables (género administrativo, estructura numérica, jerarquía física, banding/seriación, contexto arqueológico) que la propia literatura de khipus —incluyendo el trabajo previo del mismo autor— identifica como potencialmente co-determinantes del significado del color. Esto no es necesariamente un defecto de diseño (todo modelo debe simplificar), pero sí limita el peso interpretativo que las conclusiones más fuertes del paper (“sistema de escritura”, “widespread agreement”) pueden sostener sin someterse primero a un análisis que controle por estas variables ya conocidas.</w:t>
      </w:r>
    </w:p>
    <w:p>
      <w:pPr>
        <w:pStyle w:val="Heading1"/>
        <w:pageBreakBefore/>
        <w:spacing w:after="240" w:before="480"/>
      </w:pPr>
      <w:r>
        <w:t xml:space="preserve">13. Limitaciones no discutidas explícitamente por el autor</w:t>
      </w:r>
    </w:p>
    <w:p>
      <w:pPr>
        <w:spacing w:after="160"/>
        <w:jc w:val="both"/>
      </w:pPr>
      <w:r>
        <w:rPr>
          <w:rFonts w:ascii="Calibri" w:cs="Calibri" w:eastAsia="Calibri" w:hAnsi="Calibri"/>
          <w:sz w:val="22"/>
          <w:szCs w:val="22"/>
        </w:rPr>
        <w:t xml:space="preserve">Se listan aquí, siguiendo el formato solicitado, solo las limitaciones que (a) no son mencionadas por el propio autor en ningún punto del texto, (b) se pueden deducir razonablemente de la metodología descrita, y (c) son relevantes según el conocimiento actual sobre khipus. Las limitaciones que el autor sí reconoce explícitamente (cobertura parcial del OKR, taphonomía, ausencia de material de fibra, ausencia de jerarquía estructural/kaytes) se excluyen de esta lista porque ya están cubiertas por el propio texto y se citan en las secciones anteriores donde corresponde.</w:t>
      </w:r>
    </w:p>
    <w:p>
      <w:pPr>
        <w:pStyle w:val="Heading2"/>
        <w:spacing w:after="160" w:before="340"/>
      </w:pPr>
      <w:r>
        <w:t xml:space="preserve">13.1 Ausencia de control por género administrativo del khipu</w:t>
      </w:r>
    </w:p>
    <w:p>
      <w:pPr>
        <w:spacing w:after="160"/>
        <w:jc w:val="both"/>
      </w:pPr>
      <w:r>
        <w:rPr>
          <w:rFonts w:ascii="Calibri" w:cs="Calibri" w:eastAsia="Calibri" w:hAnsi="Calibri"/>
          <w:b/>
          <w:bCs/>
          <w:sz w:val="22"/>
          <w:szCs w:val="22"/>
        </w:rPr>
        <w:t xml:space="preserve">Dónde aparece la omisión: </w:t>
      </w:r>
      <w:r>
        <w:rPr>
          <w:rFonts w:ascii="Calibri" w:cs="Calibri" w:eastAsia="Calibri" w:hAnsi="Calibri"/>
          <w:sz w:val="22"/>
          <w:szCs w:val="22"/>
        </w:rPr>
        <w:t xml:space="preserve">Sección de Métodos (p.6-9): el modelo se entrena sobre “todas” las cuerdas de primer orden del OKR sin ninguna variable ni estratificación de género administrativo.</w:t>
      </w:r>
    </w:p>
    <w:p>
      <w:pPr>
        <w:spacing w:after="160"/>
        <w:jc w:val="both"/>
      </w:pPr>
      <w:r>
        <w:rPr>
          <w:rFonts w:ascii="Calibri" w:cs="Calibri" w:eastAsia="Calibri" w:hAnsi="Calibri"/>
          <w:b/>
          <w:bCs/>
          <w:sz w:val="22"/>
          <w:szCs w:val="22"/>
        </w:rPr>
        <w:t xml:space="preserve">Por qué importa: </w:t>
      </w:r>
      <w:r>
        <w:rPr>
          <w:rFonts w:ascii="Calibri" w:cs="Calibri" w:eastAsia="Calibri" w:hAnsi="Calibri"/>
          <w:sz w:val="22"/>
          <w:szCs w:val="22"/>
        </w:rPr>
        <w:t xml:space="preserve">El propio paper reconoce en su introducción que el significado del color parece variar por género (Inkawasi vs. Anchucaya, p.3), pero no incorpora esa variable ni la usa como control en el análisis de clustering.</w:t>
      </w:r>
    </w:p>
    <w:p>
      <w:pPr>
        <w:spacing w:after="160"/>
        <w:jc w:val="both"/>
      </w:pPr>
      <w:r>
        <w:rPr>
          <w:rFonts w:ascii="Calibri" w:cs="Calibri" w:eastAsia="Calibri" w:hAnsi="Calibri"/>
          <w:b/>
          <w:bCs/>
          <w:sz w:val="22"/>
          <w:szCs w:val="22"/>
        </w:rPr>
        <w:t xml:space="preserve">Qué conclusión puede afectar: </w:t>
      </w:r>
      <w:r>
        <w:rPr>
          <w:rFonts w:ascii="Calibri" w:cs="Calibri" w:eastAsia="Calibri" w:hAnsi="Calibri"/>
          <w:sz w:val="22"/>
          <w:szCs w:val="22"/>
        </w:rPr>
        <w:t xml:space="preserve">La medición de polisemia (sección 11 del paper, p.16-19): parte de la polisemia detectada podría ser, en realidad, uso monosémico pero distinto por género, mezclado en un solo análisis.</w:t>
      </w:r>
    </w:p>
    <w:p>
      <w:pPr>
        <w:spacing w:after="160"/>
        <w:jc w:val="both"/>
      </w:pPr>
      <w:r>
        <w:rPr>
          <w:rFonts w:ascii="Calibri" w:cs="Calibri" w:eastAsia="Calibri" w:hAnsi="Calibri"/>
          <w:b/>
          <w:bCs/>
          <w:sz w:val="22"/>
          <w:szCs w:val="22"/>
        </w:rPr>
        <w:t xml:space="preserve">Qué evidencia adicional sería necesaria: </w:t>
      </w:r>
      <w:r>
        <w:rPr>
          <w:rFonts w:ascii="Calibri" w:cs="Calibri" w:eastAsia="Calibri" w:hAnsi="Calibri"/>
          <w:sz w:val="22"/>
          <w:szCs w:val="22"/>
        </w:rPr>
        <w:t xml:space="preserve">Repetir el análisis de clustering estratificando por género administrativo conocido (para el subconjunto de khipus donde el género es identificable, p.ej. mediante los criterios de Medrano y Khosla 2024) y comparar si los mismos colores muestran menor polisemia dentro de cada género que en el corpus agregado.</w:t>
      </w:r>
    </w:p>
    <w:p>
      <w:pPr>
        <w:pStyle w:val="Heading2"/>
        <w:spacing w:after="160" w:before="340"/>
      </w:pPr>
      <w:r>
        <w:t xml:space="preserve">13.2 Ausencia de control por confiabilidad/procedencia del registro de dirección de lectura</w:t>
      </w:r>
    </w:p>
    <w:p>
      <w:pPr>
        <w:spacing w:after="160"/>
        <w:jc w:val="both"/>
      </w:pPr>
      <w:r>
        <w:rPr>
          <w:rFonts w:ascii="Calibri" w:cs="Calibri" w:eastAsia="Calibri" w:hAnsi="Calibri"/>
          <w:b/>
          <w:bCs/>
          <w:sz w:val="22"/>
          <w:szCs w:val="22"/>
        </w:rPr>
        <w:t xml:space="preserve">Dónde aparece la omisión: </w:t>
      </w:r>
      <w:r>
        <w:rPr>
          <w:rFonts w:ascii="Calibri" w:cs="Calibri" w:eastAsia="Calibri" w:hAnsi="Calibri"/>
          <w:sz w:val="22"/>
          <w:szCs w:val="22"/>
        </w:rPr>
        <w:t xml:space="preserve">No se menciona en ningún punto del texto de CI-2024 cómo se resolvió la dirección de lectura de khipus fragmentarios o dañados al construir las secuencias de entrada.</w:t>
      </w:r>
    </w:p>
    <w:p>
      <w:pPr>
        <w:spacing w:after="160"/>
        <w:jc w:val="both"/>
      </w:pPr>
      <w:r>
        <w:rPr>
          <w:rFonts w:ascii="Calibri" w:cs="Calibri" w:eastAsia="Calibri" w:hAnsi="Calibri"/>
          <w:b/>
          <w:bCs/>
          <w:sz w:val="22"/>
          <w:szCs w:val="22"/>
        </w:rPr>
        <w:t xml:space="preserve">Por qué importa: </w:t>
      </w:r>
      <w:r>
        <w:rPr>
          <w:rFonts w:ascii="Calibri" w:cs="Calibri" w:eastAsia="Calibri" w:hAnsi="Calibri"/>
          <w:sz w:val="22"/>
          <w:szCs w:val="22"/>
        </w:rPr>
        <w:t xml:space="preserve">El propio corpus bibliográfico de este proyecto documenta (Basel Khipu Report, sobre MM012) que, en khipus fragmentarios, la dirección de lectura (izquierda-derecha) puede ser una convención por defecto adoptada por el catalogador ante la ausencia de evidencia contextual, no un hecho verificado sobre el original. Si una fracción no reportada de las 6,592 secuencias de entrada de CI-2024 tiene su orden invertido respecto al original, esto introduce ruido silencioso precisamente en la variable (posición/orden) que el modelo BERT está diseñado para explotar.</w:t>
      </w:r>
    </w:p>
    <w:p>
      <w:pPr>
        <w:spacing w:after="160"/>
        <w:jc w:val="both"/>
      </w:pPr>
      <w:r>
        <w:rPr>
          <w:rFonts w:ascii="Calibri" w:cs="Calibri" w:eastAsia="Calibri" w:hAnsi="Calibri"/>
          <w:b/>
          <w:bCs/>
          <w:sz w:val="22"/>
          <w:szCs w:val="22"/>
        </w:rPr>
        <w:t xml:space="preserve">Qué conclusión puede afectar: </w:t>
      </w:r>
      <w:r>
        <w:rPr>
          <w:rFonts w:ascii="Calibri" w:cs="Calibri" w:eastAsia="Calibri" w:hAnsi="Calibri"/>
          <w:sz w:val="22"/>
          <w:szCs w:val="22"/>
        </w:rPr>
        <w:t xml:space="preserve">La sensibilidad al orden discutida en la sección 6 de este documento, y por extensión cualquier conclusión que dependa de la posición relativa de un color dentro de su secuencia.</w:t>
      </w:r>
    </w:p>
    <w:p>
      <w:pPr>
        <w:spacing w:after="160"/>
        <w:jc w:val="both"/>
      </w:pPr>
      <w:r>
        <w:rPr>
          <w:rFonts w:ascii="Calibri" w:cs="Calibri" w:eastAsia="Calibri" w:hAnsi="Calibri"/>
          <w:b/>
          <w:bCs/>
          <w:sz w:val="22"/>
          <w:szCs w:val="22"/>
        </w:rPr>
        <w:t xml:space="preserve">Qué evidencia adicional sería necesaria: </w:t>
      </w:r>
      <w:r>
        <w:rPr>
          <w:rFonts w:ascii="Calibri" w:cs="Calibri" w:eastAsia="Calibri" w:hAnsi="Calibri"/>
          <w:sz w:val="22"/>
          <w:szCs w:val="22"/>
        </w:rPr>
        <w:t xml:space="preserve">Un análisis de sensibilidad que excluya los khipus fragmentarios (o con dirección de lectura marcada como incierta en el OKR, si existe tal campo) y compare los resultados de clustering con y sin ellos.</w:t>
      </w:r>
    </w:p>
    <w:p>
      <w:pPr>
        <w:pStyle w:val="Heading2"/>
        <w:spacing w:after="160" w:before="340"/>
      </w:pPr>
      <w:r>
        <w:t xml:space="preserve">13.3 Circularidad parcial en la principal validación cualitativa del modelo</w:t>
      </w:r>
    </w:p>
    <w:p>
      <w:pPr>
        <w:spacing w:after="160"/>
        <w:jc w:val="both"/>
      </w:pPr>
      <w:r>
        <w:rPr>
          <w:rFonts w:ascii="Calibri" w:cs="Calibri" w:eastAsia="Calibri" w:hAnsi="Calibri"/>
          <w:b/>
          <w:bCs/>
          <w:sz w:val="22"/>
          <w:szCs w:val="22"/>
        </w:rPr>
        <w:t xml:space="preserve">Dónde aparece la omisión: </w:t>
      </w:r>
      <w:r>
        <w:rPr>
          <w:rFonts w:ascii="Calibri" w:cs="Calibri" w:eastAsia="Calibri" w:hAnsi="Calibri"/>
          <w:sz w:val="22"/>
          <w:szCs w:val="22"/>
        </w:rPr>
        <w:t xml:space="preserve">p.22, discusión del caso KH0503/KH0491 como ejemplo de validación (“correctly distinguished”).</w:t>
      </w:r>
    </w:p>
    <w:p>
      <w:pPr>
        <w:spacing w:after="160"/>
        <w:jc w:val="both"/>
      </w:pPr>
      <w:r>
        <w:rPr>
          <w:rFonts w:ascii="Calibri" w:cs="Calibri" w:eastAsia="Calibri" w:hAnsi="Calibri"/>
          <w:b/>
          <w:bCs/>
          <w:sz w:val="22"/>
          <w:szCs w:val="22"/>
        </w:rPr>
        <w:t xml:space="preserve">Por qué importa: </w:t>
      </w:r>
      <w:r>
        <w:rPr>
          <w:rFonts w:ascii="Calibri" w:cs="Calibri" w:eastAsia="Calibri" w:hAnsi="Calibri"/>
          <w:sz w:val="22"/>
          <w:szCs w:val="22"/>
        </w:rPr>
        <w:t xml:space="preserve">Como se detalló en las secciones 8 y 10, la “verdad de referencia” contra la que se compara el modelo es la interpretación manual previa del mismo autor sobre los mismos dos khipus (Clindaniel 2019) — no un juicio de un tercero independiente, ni una fuente documental externa. El paper no señala esta circularidad parcial ni la matiza.</w:t>
      </w:r>
    </w:p>
    <w:p>
      <w:pPr>
        <w:spacing w:after="160"/>
        <w:jc w:val="both"/>
      </w:pPr>
      <w:r>
        <w:rPr>
          <w:rFonts w:ascii="Calibri" w:cs="Calibri" w:eastAsia="Calibri" w:hAnsi="Calibri"/>
          <w:b/>
          <w:bCs/>
          <w:sz w:val="22"/>
          <w:szCs w:val="22"/>
        </w:rPr>
        <w:t xml:space="preserve">Qué conclusión puede afectar: </w:t>
      </w:r>
      <w:r>
        <w:rPr>
          <w:rFonts w:ascii="Calibri" w:cs="Calibri" w:eastAsia="Calibri" w:hAnsi="Calibri"/>
          <w:sz w:val="22"/>
          <w:szCs w:val="22"/>
        </w:rPr>
        <w:t xml:space="preserve">El grado de confianza que el lector debería depositar en que el modelo “funciona correctamente” en sentido general, más allá de este caso específico.</w:t>
      </w:r>
    </w:p>
    <w:p>
      <w:pPr>
        <w:spacing w:after="160"/>
        <w:jc w:val="both"/>
      </w:pPr>
      <w:r>
        <w:rPr>
          <w:rFonts w:ascii="Calibri" w:cs="Calibri" w:eastAsia="Calibri" w:hAnsi="Calibri"/>
          <w:b/>
          <w:bCs/>
          <w:sz w:val="22"/>
          <w:szCs w:val="22"/>
        </w:rPr>
        <w:t xml:space="preserve">Qué evidencia adicional sería necesaria: </w:t>
      </w:r>
      <w:r>
        <w:rPr>
          <w:rFonts w:ascii="Calibri" w:cs="Calibri" w:eastAsia="Calibri" w:hAnsi="Calibri"/>
          <w:sz w:val="22"/>
          <w:szCs w:val="22"/>
        </w:rPr>
        <w:t xml:space="preserve">Una validación ciega con un tercer investigador (idealmente no coautor de Clindaniel 2019) que evalúe, sin conocer la asignación de clusters del modelo, si un conjunto de pares de khipus conocidos por motivos independientes (no solo Inkawasi) deberían agruparse o no — y comparar después contra los clusters del modelo.</w:t>
      </w:r>
    </w:p>
    <w:p>
      <w:pPr>
        <w:pStyle w:val="Heading2"/>
        <w:spacing w:after="160" w:before="340"/>
      </w:pPr>
      <w:r>
        <w:t xml:space="preserve">13.4 No se reporta el efecto de la elección de hiperparámetros de clustering sobre el número final de clusters</w:t>
      </w:r>
    </w:p>
    <w:p>
      <w:pPr>
        <w:spacing w:after="160"/>
        <w:jc w:val="both"/>
      </w:pPr>
      <w:r>
        <w:rPr>
          <w:rFonts w:ascii="Calibri" w:cs="Calibri" w:eastAsia="Calibri" w:hAnsi="Calibri"/>
          <w:b/>
          <w:bCs/>
          <w:sz w:val="22"/>
          <w:szCs w:val="22"/>
        </w:rPr>
        <w:t xml:space="preserve">Dónde aparece la omisión: </w:t>
      </w:r>
      <w:r>
        <w:rPr>
          <w:rFonts w:ascii="Calibri" w:cs="Calibri" w:eastAsia="Calibri" w:hAnsi="Calibri"/>
          <w:sz w:val="22"/>
          <w:szCs w:val="22"/>
        </w:rPr>
        <w:t xml:space="preserve">p.8-9: se reportan dos valores de tamaño mínimo de clúster (250 y 25) sin un análisis de sensibilidad frente a valores intermedios o distintos algoritmos de clustering.</w:t>
      </w:r>
    </w:p>
    <w:p>
      <w:pPr>
        <w:spacing w:after="160"/>
        <w:jc w:val="both"/>
      </w:pPr>
      <w:r>
        <w:rPr>
          <w:rFonts w:ascii="Calibri" w:cs="Calibri" w:eastAsia="Calibri" w:hAnsi="Calibri"/>
          <w:b/>
          <w:bCs/>
          <w:sz w:val="22"/>
          <w:szCs w:val="22"/>
        </w:rPr>
        <w:t xml:space="preserve">Por qué importa: </w:t>
      </w:r>
      <w:r>
        <w:rPr>
          <w:rFonts w:ascii="Calibri" w:cs="Calibri" w:eastAsia="Calibri" w:hAnsi="Calibri"/>
          <w:sz w:val="22"/>
          <w:szCs w:val="22"/>
        </w:rPr>
        <w:t xml:space="preserve">El número “30” (o “127”, o “20”) de clusters es una cifra citada repetidamente en el Abstract y la Conclusión como si fuera una propiedad descubierta y estable de los datos, cuando en realidad depende directamente de un umbral elegido por el investigador.</w:t>
      </w:r>
    </w:p>
    <w:p>
      <w:pPr>
        <w:spacing w:after="160"/>
        <w:jc w:val="both"/>
      </w:pPr>
      <w:r>
        <w:rPr>
          <w:rFonts w:ascii="Calibri" w:cs="Calibri" w:eastAsia="Calibri" w:hAnsi="Calibri"/>
          <w:b/>
          <w:bCs/>
          <w:sz w:val="22"/>
          <w:szCs w:val="22"/>
        </w:rPr>
        <w:t xml:space="preserve">Qué conclusión puede afectar: </w:t>
      </w:r>
      <w:r>
        <w:rPr>
          <w:rFonts w:ascii="Calibri" w:cs="Calibri" w:eastAsia="Calibri" w:hAnsi="Calibri"/>
          <w:sz w:val="22"/>
          <w:szCs w:val="22"/>
        </w:rPr>
        <w:t xml:space="preserve">Cualquier afirmación que use el número exacto de clusters como evidencia cuantitativa de la “riqueza” o “complejidad” del sistema de color.</w:t>
      </w:r>
    </w:p>
    <w:p>
      <w:pPr>
        <w:spacing w:after="160"/>
        <w:jc w:val="both"/>
      </w:pPr>
      <w:r>
        <w:rPr>
          <w:rFonts w:ascii="Calibri" w:cs="Calibri" w:eastAsia="Calibri" w:hAnsi="Calibri"/>
          <w:b/>
          <w:bCs/>
          <w:sz w:val="22"/>
          <w:szCs w:val="22"/>
        </w:rPr>
        <w:t xml:space="preserve">Qué evidencia adicional sería necesaria: </w:t>
      </w:r>
      <w:r>
        <w:rPr>
          <w:rFonts w:ascii="Calibri" w:cs="Calibri" w:eastAsia="Calibri" w:hAnsi="Calibri"/>
          <w:sz w:val="22"/>
          <w:szCs w:val="22"/>
        </w:rPr>
        <w:t xml:space="preserve">Un análisis de estabilidad de clusters (p.ej. variando el tamaño mínimo entre 25 y 250 en varios pasos, o usando un método de clustering alternativo como k-means con selección de k por validación cruzada) para verificar que el número de agrupamientos grandes identificados es robusto y no un artefacto del umbral elegido.</w:t>
      </w:r>
    </w:p>
    <w:p>
      <w:pPr>
        <w:pStyle w:val="Heading2"/>
        <w:spacing w:after="160" w:before="340"/>
      </w:pPr>
      <w:r>
        <w:t xml:space="preserve">13.5 Ausencia de un experimento de control negativo (permutación)</w:t>
      </w:r>
    </w:p>
    <w:p>
      <w:pPr>
        <w:spacing w:after="160"/>
        <w:jc w:val="both"/>
      </w:pPr>
      <w:r>
        <w:rPr>
          <w:rFonts w:ascii="Calibri" w:cs="Calibri" w:eastAsia="Calibri" w:hAnsi="Calibri"/>
          <w:b/>
          <w:bCs/>
          <w:sz w:val="22"/>
          <w:szCs w:val="22"/>
        </w:rPr>
        <w:t xml:space="preserve">Dónde aparece la omisión: </w:t>
      </w:r>
      <w:r>
        <w:rPr>
          <w:rFonts w:ascii="Calibri" w:cs="Calibri" w:eastAsia="Calibri" w:hAnsi="Calibri"/>
          <w:sz w:val="22"/>
          <w:szCs w:val="22"/>
        </w:rPr>
        <w:t xml:space="preserve">Toda la sección de Métodos — no se describe ningún experimento con datos aleatorizados.</w:t>
      </w:r>
    </w:p>
    <w:p>
      <w:pPr>
        <w:spacing w:after="160"/>
        <w:jc w:val="both"/>
      </w:pPr>
      <w:r>
        <w:rPr>
          <w:rFonts w:ascii="Calibri" w:cs="Calibri" w:eastAsia="Calibri" w:hAnsi="Calibri"/>
          <w:b/>
          <w:bCs/>
          <w:sz w:val="22"/>
          <w:szCs w:val="22"/>
        </w:rPr>
        <w:t xml:space="preserve">Por qué importa: </w:t>
      </w:r>
      <w:r>
        <w:rPr>
          <w:rFonts w:ascii="Calibri" w:cs="Calibri" w:eastAsia="Calibri" w:hAnsi="Calibri"/>
          <w:sz w:val="22"/>
          <w:szCs w:val="22"/>
        </w:rPr>
        <w:t xml:space="preserve">Ya discutido en profundidad en la sección 3.2 de este documento: sin este control, no se puede descartar con certeza que parte de la estructura encontrada sea un artefacto del pipeline (BERT+UMAP+HDBSCAN) aplicado a cualquier secuencia categórica con frecuencias desiguales, y no evidencia específica de convención semántica khipu.</w:t>
      </w:r>
    </w:p>
    <w:p>
      <w:pPr>
        <w:spacing w:after="160"/>
        <w:jc w:val="both"/>
      </w:pPr>
      <w:r>
        <w:rPr>
          <w:rFonts w:ascii="Calibri" w:cs="Calibri" w:eastAsia="Calibri" w:hAnsi="Calibri"/>
          <w:b/>
          <w:bCs/>
          <w:sz w:val="22"/>
          <w:szCs w:val="22"/>
        </w:rPr>
        <w:t xml:space="preserve">Qué conclusión puede afectar: </w:t>
      </w:r>
      <w:r>
        <w:rPr>
          <w:rFonts w:ascii="Calibri" w:cs="Calibri" w:eastAsia="Calibri" w:hAnsi="Calibri"/>
          <w:sz w:val="22"/>
          <w:szCs w:val="22"/>
        </w:rPr>
        <w:t xml:space="preserve">La afirmación central del Abstract de que existe “a coherent system of color signs” en sentido fuerte.</w:t>
      </w:r>
    </w:p>
    <w:p>
      <w:pPr>
        <w:spacing w:after="160"/>
        <w:jc w:val="both"/>
      </w:pPr>
      <w:r>
        <w:rPr>
          <w:rFonts w:ascii="Calibri" w:cs="Calibri" w:eastAsia="Calibri" w:hAnsi="Calibri"/>
          <w:b/>
          <w:bCs/>
          <w:sz w:val="22"/>
          <w:szCs w:val="22"/>
        </w:rPr>
        <w:t xml:space="preserve">Qué evidencia adicional sería necesaria: </w:t>
      </w:r>
      <w:r>
        <w:rPr>
          <w:rFonts w:ascii="Calibri" w:cs="Calibri" w:eastAsia="Calibri" w:hAnsi="Calibri"/>
          <w:sz w:val="22"/>
          <w:szCs w:val="22"/>
        </w:rPr>
        <w:t xml:space="preserve">Entrenar el mismo pipeline sobre una versión de los datos con los colores permutados aleatoriamente dentro de cada grupo de cuerdas (conservando frecuencias marginales) y comparar la nitidez de los clusters resultantes contra los datos reales.</w:t>
      </w:r>
    </w:p>
    <w:p>
      <w:pPr>
        <w:pStyle w:val="Heading2"/>
        <w:spacing w:after="160" w:before="340"/>
      </w:pPr>
      <w:r>
        <w:t xml:space="preserve">13.6 Síntesis</w:t>
      </w:r>
    </w:p>
    <w:p>
      <w:pPr>
        <w:spacing w:after="160"/>
        <w:jc w:val="both"/>
      </w:pPr>
      <w:r>
        <w:rPr>
          <w:rFonts w:ascii="Calibri" w:cs="Calibri" w:eastAsia="Calibri" w:hAnsi="Calibri"/>
          <w:sz w:val="22"/>
          <w:szCs w:val="22"/>
        </w:rPr>
        <w:t xml:space="preserve">Ninguna de estas cinco omisiones fue encontrada mencionada, ni siquiera brevemente, en el texto completo del paper. Se documentan aquí como limitaciones no discutidas, siguiendo estrictamente el criterio solicitado: deducibles de la metodología descrita y relevantes según el conocimiento actual sobre khipus, sin presentarlas como errores fatales del estudio.</w:t>
      </w:r>
    </w:p>
    <w:p>
      <w:pPr>
        <w:pStyle w:val="Heading1"/>
        <w:pageBreakBefore/>
        <w:spacing w:after="240" w:before="480"/>
      </w:pPr>
      <w:r>
        <w:t xml:space="preserve">14. Generalización: ¿sobre qué universo habla realmente el paper?</w:t>
      </w:r>
    </w:p>
    <w:p>
      <w:pPr>
        <w:pStyle w:val="Heading2"/>
        <w:spacing w:after="160" w:before="340"/>
      </w:pPr>
      <w:r>
        <w:t xml:space="preserve">14.1 Los números exactos</w:t>
      </w:r>
    </w:p>
    <w:p>
      <w:pPr>
        <w:pStyle w:val="ListParagraph"/>
        <w:numPr>
          <w:ilvl w:val="0"/>
          <w:numId w:val="1"/>
        </w:numPr>
        <w:spacing w:after="90"/>
      </w:pPr>
      <w:r>
        <w:rPr>
          <w:rFonts w:ascii="Calibri" w:cs="Calibri" w:eastAsia="Calibri" w:hAnsi="Calibri"/>
          <w:sz w:val="22"/>
          <w:szCs w:val="22"/>
        </w:rPr>
        <w:t xml:space="preserve">629 khipus “de estilo inca” digitalizados en el OKR v2.0.0 (p.6).</w:t>
      </w:r>
    </w:p>
    <w:p>
      <w:pPr>
        <w:pStyle w:val="ListParagraph"/>
        <w:numPr>
          <w:ilvl w:val="0"/>
          <w:numId w:val="1"/>
        </w:numPr>
        <w:spacing w:after="90"/>
      </w:pPr>
      <w:r>
        <w:rPr>
          <w:rFonts w:ascii="Calibri" w:cs="Calibri" w:eastAsia="Calibri" w:hAnsi="Calibri"/>
          <w:sz w:val="22"/>
          <w:szCs w:val="22"/>
        </w:rPr>
        <w:t xml:space="preserve">1,386 khipus conocidos en museos y colecciones privadas a nivel mundial, según el propio catálogo citado por el paper (Medrano 2021, p.6).</w:t>
      </w:r>
    </w:p>
    <w:p>
      <w:pPr>
        <w:pStyle w:val="ListParagraph"/>
        <w:numPr>
          <w:ilvl w:val="0"/>
          <w:numId w:val="1"/>
        </w:numPr>
        <w:spacing w:after="90"/>
      </w:pPr>
      <w:r>
        <w:rPr>
          <w:rFonts w:ascii="Calibri" w:cs="Calibri" w:eastAsia="Calibri" w:hAnsi="Calibri"/>
          <w:sz w:val="22"/>
          <w:szCs w:val="22"/>
        </w:rPr>
        <w:t xml:space="preserve">Es decir, el paper analiza, en el mejor de los casos, un 45% del universo conocido de khipus — y ese universo conocido es, a su vez y según la misma fuente citada por el paper, solo una fracción no cuantificable con precisión de los khipus que alguna vez existieron en los Andes.</w:t>
      </w:r>
    </w:p>
    <w:p>
      <w:pPr>
        <w:pStyle w:val="Heading2"/>
        <w:spacing w:after="160" w:before="340"/>
      </w:pPr>
      <w:r>
        <w:t xml:space="preserve">14.2 ¿El lenguaje del paper es proporcional a este alcance?</w:t>
      </w:r>
    </w:p>
    <w:p>
      <w:pPr>
        <w:spacing w:after="160"/>
        <w:jc w:val="both"/>
      </w:pPr>
      <w:r>
        <w:rPr>
          <w:rFonts w:ascii="Calibri" w:cs="Calibri" w:eastAsia="Calibri" w:hAnsi="Calibri"/>
          <w:sz w:val="22"/>
          <w:szCs w:val="22"/>
        </w:rPr>
        <w:t xml:space="preserve">Parcialmente. El paper es explícito y correcto en un punto: reconoce textualmente que “the khipus that have been studied and digitized for inclusion in the OKR still make up a fraction of the 1,386 khipus that are known to exist” (p.6). Esta es una calificación honesta y verificable, que debe reconocerse como buena práctica.</w:t>
      </w:r>
    </w:p>
    <w:p>
      <w:pPr>
        <w:spacing w:after="160"/>
        <w:jc w:val="both"/>
      </w:pPr>
      <w:r>
        <w:rPr>
          <w:rFonts w:ascii="Calibri" w:cs="Calibri" w:eastAsia="Calibri" w:hAnsi="Calibri"/>
          <w:sz w:val="22"/>
          <w:szCs w:val="22"/>
        </w:rPr>
        <w:t xml:space="preserve">Sin embargo, el título del paper (“Colorful Insights from an AI Khipukamayuq”) y su Conclusión (“approaching khipus as a sophisticated writing system”, p.28-29) no llevan ninguna calificación de alcance — hablan de “khipus” en general, sin la salvedad “khipus de estilo inca representados en el OKR” que sería más precisa dado lo que el propio cuerpo del paper reconoce. Esta es una discrepancia de precisión entre el cuerpo del texto (cuidadoso) y los titulares del paper (más generales de lo que el dato permite), un patrón consistente con lo ya observado en la sección 10.</w:t>
      </w:r>
    </w:p>
    <w:p>
      <w:pPr>
        <w:pStyle w:val="Heading2"/>
        <w:spacing w:after="160" w:before="340"/>
      </w:pPr>
      <w:r>
        <w:t xml:space="preserve">14.3 ¿Qué tipos de khipu quedan fuera por definición, antes de cualquier sesgo de muestreo?</w:t>
      </w:r>
    </w:p>
    <w:p>
      <w:pPr>
        <w:pStyle w:val="ListParagraph"/>
        <w:numPr>
          <w:ilvl w:val="0"/>
          <w:numId w:val="1"/>
        </w:numPr>
        <w:spacing w:after="90"/>
      </w:pPr>
      <w:r>
        <w:rPr>
          <w:rFonts w:ascii="Calibri" w:cs="Calibri" w:eastAsia="Calibri" w:hAnsi="Calibri"/>
          <w:sz w:val="22"/>
          <w:szCs w:val="22"/>
        </w:rPr>
        <w:t xml:space="preserve">Khipus wari/preincaicos — explícitamente excluidos porque el OKR está definido para “Inka-style khipus” (p.6); el propio paper reconoce esto como pregunta de investigación futura no resuelta (p.28: “Might the polysemic senses of these ‘proto-khipus’ map onto those discovered here...”).</w:t>
      </w:r>
    </w:p>
    <w:p>
      <w:pPr>
        <w:pStyle w:val="ListParagraph"/>
        <w:numPr>
          <w:ilvl w:val="0"/>
          <w:numId w:val="1"/>
        </w:numPr>
        <w:spacing w:after="90"/>
      </w:pPr>
      <w:r>
        <w:rPr>
          <w:rFonts w:ascii="Calibri" w:cs="Calibri" w:eastAsia="Calibri" w:hAnsi="Calibri"/>
          <w:sz w:val="22"/>
          <w:szCs w:val="22"/>
        </w:rPr>
        <w:t xml:space="preserve">Khipus poscoloniales tardíos con función documentada distinta (p.ej. los khipus de Collata estudiados por Hyland 2017, con fonetismo demostrado) — mencionados en la introducción como contraste, pero no incluidos en el corpus de entrenamiento.</w:t>
      </w:r>
    </w:p>
    <w:p>
      <w:pPr>
        <w:pStyle w:val="ListParagraph"/>
        <w:numPr>
          <w:ilvl w:val="0"/>
          <w:numId w:val="1"/>
        </w:numPr>
        <w:spacing w:after="90"/>
      </w:pPr>
      <w:r>
        <w:rPr>
          <w:rFonts w:ascii="Calibri" w:cs="Calibri" w:eastAsia="Calibri" w:hAnsi="Calibri"/>
          <w:sz w:val="22"/>
          <w:szCs w:val="22"/>
        </w:rPr>
        <w:t xml:space="preserve">El 8% de cuerdas “anómalas” que no siguen la notación numérica estándar, excluidas explícitamente en trabajo previo del mismo autor (Clindaniel 2019, p.11-12) — no está claro en CI-2024 si estas cuerdas anómalas están incluidas o excluidas del análisis de color, ya que el texto no lo aclara.</w:t>
      </w:r>
    </w:p>
    <w:p>
      <w:pPr>
        <w:pStyle w:val="Heading2"/>
        <w:spacing w:after="160" w:before="340"/>
      </w:pPr>
      <w:r>
        <w:t xml:space="preserve">14.4 Formulación directa de la pregunta central de esta sección</w:t>
      </w:r>
    </w:p>
    <w:p>
      <w:pPr>
        <w:spacing w:after="160"/>
        <w:jc w:val="both"/>
      </w:pPr>
      <w:r>
        <w:rPr>
          <w:rFonts w:ascii="Calibri" w:cs="Calibri" w:eastAsia="Calibri" w:hAnsi="Calibri"/>
          <w:sz w:val="22"/>
          <w:szCs w:val="22"/>
        </w:rPr>
        <w:t xml:space="preserve">¿El paper demuestra algo sobre “los khipus” en general, o solamente sobre el subconjunto de 629 khipus de estilo inca ya digitalizados en el OKR hacia 2022-2024? La respuesta más defendible, a partir de la propia evidencia presentada, es la segunda: el paper demuestra, con buen rigor técnico, patrones dentro de ese subconjunto específico. La generalización a “los khipus” como categoría universal, o incluso a “los khipus incas” como categoría completa (más allá de lo ya digitalizado), es una extrapolación razonable pero no demostrada por este estudio en particular — y es precisamente el tipo de extrapolación que el título y la conclusión del paper invitan a hacer sin la salvedad explícita que el propio cuerpo del texto sí ofrece en la sección de datos.</w:t>
      </w:r>
    </w:p>
    <w:p>
      <w:pPr>
        <w:pStyle w:val="Heading1"/>
        <w:pageBreakBefore/>
        <w:spacing w:after="240" w:before="480"/>
      </w:pPr>
      <w:r>
        <w:t xml:space="preserve">15. Representatividad del dataset: ¿qué khipus entraron y cuáles quedaron fuera?</w:t>
      </w:r>
    </w:p>
    <w:p>
      <w:pPr>
        <w:pStyle w:val="Heading2"/>
        <w:spacing w:after="160" w:before="340"/>
      </w:pPr>
      <w:r>
        <w:t xml:space="preserve">15.1 Lo que el paper dice sobre cómo se formó el OKR</w:t>
      </w:r>
    </w:p>
    <w:p>
      <w:pPr>
        <w:spacing w:after="160"/>
        <w:jc w:val="both"/>
      </w:pPr>
      <w:r>
        <w:rPr>
          <w:rFonts w:ascii="Calibri" w:cs="Calibri" w:eastAsia="Calibri" w:hAnsi="Calibri"/>
          <w:sz w:val="22"/>
          <w:szCs w:val="22"/>
        </w:rPr>
        <w:t xml:space="preserve">El paper describe el OKR como una base de datos que “currently contains digital representations of 629 digitized Inka-style khipus from archaeological sites in the Andes, as well as museums around the world” (p.6), supervisada por un consejo asesor que incluye a Brezine, Ghezzi, Hyland, Medrano, Splitstoser y el propio Clindaniel, y que “continues to update the data... as more is learned about khipus and additional khipus become available for study” (p.6). No se describe, en este paper, ningún criterio explícito de selección o priorización sobre qué khipus, de entre los 1,386 conocidos, han sido digitalizados primero.</w:t>
      </w:r>
    </w:p>
    <w:p>
      <w:pPr>
        <w:pStyle w:val="Heading2"/>
        <w:spacing w:after="160" w:before="340"/>
      </w:pPr>
      <w:r>
        <w:t xml:space="preserve">15.2 Lo que la literatura ya revisada permite inferir sobre el mecanismo de selección</w:t>
      </w:r>
    </w:p>
    <w:p>
      <w:pPr>
        <w:spacing w:after="160"/>
        <w:jc w:val="both"/>
      </w:pPr>
      <w:r>
        <w:rPr>
          <w:rFonts w:ascii="Calibri" w:cs="Calibri" w:eastAsia="Calibri" w:hAnsi="Calibri"/>
          <w:sz w:val="22"/>
          <w:szCs w:val="22"/>
        </w:rPr>
        <w:t xml:space="preserve">A partir del resto del corpus bibliográfico ya analizado en este proyecto (no del paper evaluado aquí), se puede reconstruir parcialmente cómo se formó el OKR: por catalogación acumulativa desde los Ascher (décadas de 1960-1980), pasando por la Harvard Khipu Database dirigida por Urton/Brezine desde 2002, más incorporaciones recientes de viajes de catalogación específicos (p.ej. los 21 khipus catalogados por Medrano en siete museos europeos, documentados en el Basel Khipu Report y en Medrano y Khosla 2024). Es decir: el OKR no es una muestra aleatoria del universo de 1,386 khipus conocidos, sino el resultado acumulado de qué museos han sido visitados, qué colecciones han facilitado acceso, y qué khipus han sido priorizados por investigadores específicos a lo largo de seis décadas — un proceso de selección oportunista y dependiente de accesibilidad institucional, no un muestreo diseñado para representatividad.</w:t>
      </w:r>
    </w:p>
    <w:p>
      <w:pPr>
        <w:pStyle w:val="Heading2"/>
        <w:spacing w:after="160" w:before="340"/>
      </w:pPr>
      <w:r>
        <w:t xml:space="preserve">15.3 Sesgos ya documentados en la literatura que podrían afectar directamente los resultados de color</w:t>
      </w:r>
    </w:p>
    <w:p>
      <w:pPr>
        <w:pStyle w:val="ListParagraph"/>
        <w:numPr>
          <w:ilvl w:val="0"/>
          <w:numId w:val="1"/>
        </w:numPr>
        <w:spacing w:after="90"/>
      </w:pPr>
      <w:r>
        <w:rPr>
          <w:rFonts w:ascii="Calibri" w:cs="Calibri" w:eastAsia="Calibri" w:hAnsi="Calibri"/>
          <w:sz w:val="22"/>
          <w:szCs w:val="22"/>
        </w:rPr>
        <w:t xml:space="preserve">Sesgo geográfico de preservación: predominio marcado de khipus de la costa desértica del Pacífico, por mejor conservación de fibras orgánicas, y ausencia casi total de ejemplares del núcleo cuzqueño húmedo (documentado explícitamente en Clindaniel 2019, p.35, del mismo autor de CI-2024). Si el color se degrada de forma diferente según el clima de conservación (como el propio CI-2024 discute para el caso de tintes de hierro-tanino, p.10-11, citando Rode et al. 2024), un corpus geográficamente sesgado hacia la costa podría producir un patrón de color sistemáticamente distinto al que existiría en una muestra geográficamente equilibrada.</w:t>
      </w:r>
    </w:p>
    <w:p>
      <w:pPr>
        <w:pStyle w:val="ListParagraph"/>
        <w:numPr>
          <w:ilvl w:val="0"/>
          <w:numId w:val="1"/>
        </w:numPr>
        <w:spacing w:after="90"/>
      </w:pPr>
      <w:r>
        <w:rPr>
          <w:rFonts w:ascii="Calibri" w:cs="Calibri" w:eastAsia="Calibri" w:hAnsi="Calibri"/>
          <w:sz w:val="22"/>
          <w:szCs w:val="22"/>
        </w:rPr>
        <w:t xml:space="preserve">Sesgo hacia khipus bien conservados y "legibles": los khipus muy fragmentarios o deteriorados son, por definición, más difíciles de digitalizar con datos de color completos — es razonable esperar que estén subrepresentados o representados con más datos faltantes en el OKR que los khipus bien conservados, lo cual podría inflar artificialmente la aparente “consistencia” del sistema de color (los casos más “ruidosos” o ambiguos tienden a quedar fuera del análisis, no porque no existieran, sino porque son más difíciles de catalogar con confianza).</w:t>
      </w:r>
    </w:p>
    <w:p>
      <w:pPr>
        <w:pStyle w:val="ListParagraph"/>
        <w:numPr>
          <w:ilvl w:val="0"/>
          <w:numId w:val="1"/>
        </w:numPr>
        <w:spacing w:after="90"/>
      </w:pPr>
      <w:r>
        <w:rPr>
          <w:rFonts w:ascii="Calibri" w:cs="Calibri" w:eastAsia="Calibri" w:hAnsi="Calibri"/>
          <w:sz w:val="22"/>
          <w:szCs w:val="22"/>
        </w:rPr>
        <w:t xml:space="preserve">Sesgo de génesis institucional: como se documentó en la Revisión Bibliográfica Quipus de este mismo proyecto, más del 90% de las entradas del OKR están atribuidas a investigadores no peruanos (Brezine et al. 2024) — lo cual no es, en sí mismo, evidencia de sesgo de color, pero sí es evidencia de que el proceso de selección de qué khipus entran al corpus digital ha estado determinado por las trayectorias de investigación de un grupo relativamente pequeño de investigadores, no por un diseño muestral sistemático del universo completo de 1,386 khipus.</w:t>
      </w:r>
    </w:p>
    <w:p>
      <w:pPr>
        <w:pStyle w:val="Heading2"/>
        <w:spacing w:after="160" w:before="340"/>
      </w:pPr>
      <w:r>
        <w:t xml:space="preserve">15.4 ¿Los khipus más fáciles de digitalizar son también los más representativos?</w:t>
      </w:r>
    </w:p>
    <w:p>
      <w:pPr>
        <w:spacing w:after="160"/>
        <w:jc w:val="both"/>
      </w:pPr>
      <w:r>
        <w:rPr>
          <w:rFonts w:ascii="Calibri" w:cs="Calibri" w:eastAsia="Calibri" w:hAnsi="Calibri"/>
          <w:sz w:val="22"/>
          <w:szCs w:val="22"/>
        </w:rPr>
        <w:t xml:space="preserve">No hay evidencia, ni en este paper ni en el resto del corpus bibliográfico revisado, que responda esta pregunta de forma directa. Es una pregunta abierta legítima (Categoría C): es plausible que los khipus más fáciles de digitalizar (mejor conservados, con procedencia clara, en colecciones con acceso investigativo facilitado) sean sistemáticamente distintos, en algún aspecto no controlado, de los khipus más difíciles de digitalizar (fragmentarios, sin procedencia, en colecciones de acceso restringido) — pero no existe, en la evidencia disponible, ni una confirmación ni un descarte de esta posibilidad.</w:t>
      </w:r>
    </w:p>
    <w:p>
      <w:pPr>
        <w:pStyle w:val="Heading2"/>
        <w:spacing w:after="160" w:before="340"/>
      </w:pPr>
      <w:r>
        <w:t xml:space="preserve">15.5 ¿El paper aborda esto?</w:t>
      </w:r>
    </w:p>
    <w:p>
      <w:pPr>
        <w:spacing w:after="160"/>
        <w:jc w:val="both"/>
      </w:pPr>
      <w:r>
        <w:rPr>
          <w:rFonts w:ascii="Calibri" w:cs="Calibri" w:eastAsia="Calibri" w:hAnsi="Calibri"/>
          <w:sz w:val="22"/>
          <w:szCs w:val="22"/>
        </w:rPr>
        <w:t xml:space="preserve">El paper reconoce la cobertura parcial en términos de cantidad (629 de 1,386, p.6) pero no discute el mecanismo de selección que determinó cuáles 629 en particular, ni sus posibles sesgos sistemáticos de conservación o representatividad geográfica/institucional. Clasificación: Categoría A para el reconocimiento parcial (el número está explícito) combinada con Categoría B para la omisión del mecanismo de sesgo (la literatura externa del propio corpus documenta sesgos geográficos e institucionales conocidos que el paper no menciona ni discute en relación con sus propios resultados de color).</w:t>
      </w:r>
    </w:p>
    <w:p>
      <w:pPr>
        <w:pStyle w:val="Heading1"/>
        <w:pageBreakBefore/>
        <w:spacing w:after="240" w:before="480"/>
      </w:pPr>
      <w:r>
        <w:t xml:space="preserve">16. Evidencia independiente: ¿qué respalda cada conclusión importante más allá del propio algoritmo?</w:t>
      </w:r>
    </w:p>
    <w:p>
      <w:pPr>
        <w:spacing w:after="160"/>
        <w:jc w:val="both"/>
      </w:pPr>
      <w:r>
        <w:rPr>
          <w:rFonts w:ascii="Calibri" w:cs="Calibri" w:eastAsia="Calibri" w:hAnsi="Calibri"/>
          <w:sz w:val="22"/>
          <w:szCs w:val="22"/>
        </w:rPr>
        <w:t xml:space="preserve">Para cada conclusión importante del paper, se pregunta explícitamente: ¿existe evidencia independiente del algoritmo (arqueológica, histórica, lingüística, numérica, antropológica, o de investigación previa) que confirme esta interpretación?</w:t>
      </w:r>
    </w:p>
    <w:p>
      <w:pPr>
        <w:pStyle w:val="Heading2"/>
        <w:spacing w:after="160" w:before="340"/>
      </w:pPr>
      <w:r>
        <w:t xml:space="preserve">16.1 Existencia de estructura no aleatoria en el uso del color</w:t>
      </w:r>
    </w:p>
    <w:p>
      <w:pPr>
        <w:spacing w:after="160"/>
        <w:jc w:val="both"/>
      </w:pPr>
      <w:r>
        <w:rPr>
          <w:rFonts w:ascii="Calibri" w:cs="Calibri" w:eastAsia="Calibri" w:hAnsi="Calibri"/>
          <w:sz w:val="22"/>
          <w:szCs w:val="22"/>
        </w:rPr>
        <w:t xml:space="preserve">Evidencia independiente: SÍ, y es la más fuerte de todo el paper. Las varas envueltas con hilo de colores excavadas en Inkawasi en 2016 (documentadas originalmente en Clindaniel 2019, retomadas aquí, p.26) son un objeto físico independiente del corpus de datos de color del OKR: no se derivan del mismo proceso de catalogación de cuerdas de khipu, sino de una excavación separada de herramientas de producción. Que 9 de 12 contrastes de color observados en esas varas (75%) coincidan con oposiciones semánticas descubiertas de forma no supervisada por el modelo es un punto de convergencia genuinamente independiente, y es —según la evaluación de este documento— el hallazgo individual más sólido de todo el paper.</w:t>
      </w:r>
    </w:p>
    <w:p>
      <w:pPr>
        <w:spacing w:after="160"/>
        <w:jc w:val="both"/>
      </w:pPr>
      <w:r>
        <w:rPr>
          <w:rFonts w:ascii="Calibri" w:cs="Calibri" w:eastAsia="Calibri" w:hAnsi="Calibri"/>
          <w:b/>
          <w:bCs/>
          <w:sz w:val="22"/>
          <w:szCs w:val="22"/>
        </w:rPr>
        <w:t xml:space="preserve">Matices importantes sobre esta evidencia: </w:t>
      </w:r>
      <w:r>
        <w:rPr>
          <w:rFonts w:ascii="Calibri" w:cs="Calibri" w:eastAsia="Calibri" w:hAnsi="Calibri"/>
          <w:sz w:val="22"/>
          <w:szCs w:val="22"/>
        </w:rPr>
        <w:t xml:space="preserve">(a) proviene de un único sitio arqueológico (Inkawasi), por lo que respalda directamente solo la práctica local/de taller allí documentada, no necesariamente la “convención imperial” más amplia que el paper afirma en otras secciones; (b) la muestra es pequeña (12 contrastes); (c) tres de los doce contrastes de las varas no correlacionan con el modelo, y el propio paper explica esto como posible distinción interna a los códigos KCCS agregados que el modelo, por diseño, no puede ver (p.26) — una explicación razonable, pero que también recuerda que el propio esquema de codificación (KCCS) limita lo que el modelo puede, en principio, descubrir, independientemente de si existía o no una distinción real.</w:t>
      </w:r>
    </w:p>
    <w:p>
      <w:pPr>
        <w:pStyle w:val="Heading2"/>
        <w:spacing w:after="160" w:before="340"/>
      </w:pPr>
      <w:r>
        <w:t xml:space="preserve">16.2 Consistencia geográfica "imperial" del sistema de color</w:t>
      </w:r>
    </w:p>
    <w:p>
      <w:pPr>
        <w:spacing w:after="160"/>
        <w:jc w:val="both"/>
      </w:pPr>
      <w:r>
        <w:rPr>
          <w:rFonts w:ascii="Calibri" w:cs="Calibri" w:eastAsia="Calibri" w:hAnsi="Calibri"/>
          <w:sz w:val="22"/>
          <w:szCs w:val="22"/>
        </w:rPr>
        <w:t xml:space="preserve">Evidencia independiente: parcial. El análisis de divergencia por procedencia (Figuras 10-11) es evidencia interna al propio corpus de datos de color (no una fuente externa), aunque sí es una prueba de robustez razonable dentro de sus propios términos. La explicación histórica que el paper ofrece para esta consistencia (la escuela de Cuzco descrita por Murúa, p.25-26) es evidencia documental cronística independiente, pero es una fuente única, de un solo cronista, y describe un mecanismo de formación de khipukamayuqs sin describir directamente el contenido específico del sistema de color que el modelo descubrió — es una pieza de plausibilidad histórica general, no una confirmación específica.</w:t>
      </w:r>
    </w:p>
    <w:p>
      <w:pPr>
        <w:pStyle w:val="Heading2"/>
        <w:spacing w:after="160" w:before="340"/>
      </w:pPr>
      <w:r>
        <w:t xml:space="preserve">16.3 Conjunto de "refinamiento" ligado a realeza y lo sagrado</w:t>
      </w:r>
    </w:p>
    <w:p>
      <w:pPr>
        <w:spacing w:after="160"/>
        <w:jc w:val="both"/>
      </w:pPr>
      <w:r>
        <w:rPr>
          <w:rFonts w:ascii="Calibri" w:cs="Calibri" w:eastAsia="Calibri" w:hAnsi="Calibri"/>
          <w:sz w:val="22"/>
          <w:szCs w:val="22"/>
        </w:rPr>
        <w:t xml:space="preserve">Evidencia independiente: una sola fuente cronística (Calancha 1638), de fiabilidad y precisión debatibles en la literatura de khipus en general (el propio paper reconoce, citando a Mackey 1970, que otra fuente cronística clásica —Garcilaso— resulta empíricamente insostenible al contrastarse con el corpus arqueológico: “If Garcilaso was correct in his interpretation of white cords denoting silver, we would expect a wildly unrealistic amount of silver”, p.2). Dado que el propio paper ya demuestra, en su introducción, que al menos un cronista clásico (Garcilaso) resulta poco fiable al contrastarse con datos arqueológicos, la conexión con un segundo cronista (Calancha) para el conjunto de refinamiento debería tratarse, por consistencia metodológica, con el mismo nivel de escepticismo — y, de hecho, el propio autor lo hace, calificando la conexión de “especulativa” (p.25), lo cual es coherente y debe reconocerse como buena práctica.</w:t>
      </w:r>
    </w:p>
    <w:p>
      <w:pPr>
        <w:pStyle w:val="Heading2"/>
        <w:spacing w:after="160" w:before="340"/>
      </w:pPr>
      <w:r>
        <w:t xml:space="preserve">16.4 Validación KH0503/KH0491</w:t>
      </w:r>
    </w:p>
    <w:p>
      <w:pPr>
        <w:spacing w:after="160"/>
        <w:jc w:val="both"/>
      </w:pPr>
      <w:r>
        <w:rPr>
          <w:rFonts w:ascii="Calibri" w:cs="Calibri" w:eastAsia="Calibri" w:hAnsi="Calibri"/>
          <w:sz w:val="22"/>
          <w:szCs w:val="22"/>
        </w:rPr>
        <w:t xml:space="preserve">Evidencia independiente: NO en sentido estricto — como se ha señalado en las secciones 8, 10 y 13, es una comparación contra la interpretación previa del mismo autor sobre los mismos especímenes, no contra una fuente de verdad externa.</w:t>
      </w:r>
    </w:p>
    <w:p>
      <w:pPr>
        <w:pStyle w:val="Heading2"/>
        <w:spacing w:after="160" w:before="340"/>
      </w:pPr>
      <w:r>
        <w:t xml:space="preserve">16.5 Tabla-síntesis de este apartado</w:t>
      </w:r>
    </w:p>
    <w:p>
      <w:pPr>
        <w:pStyle w:val="ListParagraph"/>
        <w:numPr>
          <w:ilvl w:val="0"/>
          <w:numId w:val="1"/>
        </w:numPr>
        <w:spacing w:after="90"/>
      </w:pPr>
      <w:r>
        <w:rPr>
          <w:rFonts w:ascii="Calibri" w:cs="Calibri" w:eastAsia="Calibri" w:hAnsi="Calibri"/>
          <w:sz w:val="22"/>
          <w:szCs w:val="22"/>
        </w:rPr>
        <w:t xml:space="preserve">Estructura de color no aleatoria → evidencia independiente fuerte (varas de Inkawasi), aunque geográficamente acotada.</w:t>
      </w:r>
    </w:p>
    <w:p>
      <w:pPr>
        <w:pStyle w:val="ListParagraph"/>
        <w:numPr>
          <w:ilvl w:val="0"/>
          <w:numId w:val="1"/>
        </w:numPr>
        <w:spacing w:after="90"/>
      </w:pPr>
      <w:r>
        <w:rPr>
          <w:rFonts w:ascii="Calibri" w:cs="Calibri" w:eastAsia="Calibri" w:hAnsi="Calibri"/>
          <w:sz w:val="22"/>
          <w:szCs w:val="22"/>
        </w:rPr>
        <w:t xml:space="preserve">Consistencia imperial amplia → evidencia independiente débil/indirecta (una sola fuente cronística sobre entrenamiento de khipukamayuqs, no sobre el contenido del sistema de color en sí).</w:t>
      </w:r>
    </w:p>
    <w:p>
      <w:pPr>
        <w:pStyle w:val="ListParagraph"/>
        <w:numPr>
          <w:ilvl w:val="0"/>
          <w:numId w:val="1"/>
        </w:numPr>
        <w:spacing w:after="90"/>
      </w:pPr>
      <w:r>
        <w:rPr>
          <w:rFonts w:ascii="Calibri" w:cs="Calibri" w:eastAsia="Calibri" w:hAnsi="Calibri"/>
          <w:sz w:val="22"/>
          <w:szCs w:val="22"/>
        </w:rPr>
        <w:t xml:space="preserve">Significado royal/sagrado del conjunto de refinamiento → evidencia independiente débil (una sola fuente cronística, correctamente calificada como especulativa por el propio autor).</w:t>
      </w:r>
    </w:p>
    <w:p>
      <w:pPr>
        <w:pStyle w:val="ListParagraph"/>
        <w:numPr>
          <w:ilvl w:val="0"/>
          <w:numId w:val="1"/>
        </w:numPr>
        <w:spacing w:after="90"/>
      </w:pPr>
      <w:r>
        <w:rPr>
          <w:rFonts w:ascii="Calibri" w:cs="Calibri" w:eastAsia="Calibri" w:hAnsi="Calibri"/>
          <w:sz w:val="22"/>
          <w:szCs w:val="22"/>
        </w:rPr>
        <w:t xml:space="preserve">Validación de que el modelo distingue correctamente casos conocidos (KH0503/KH0491) → sin evidencia independiente (circularidad parcial con el propio trabajo previo del autor).</w:t>
      </w:r>
    </w:p>
    <w:p>
      <w:pPr>
        <w:pStyle w:val="ListParagraph"/>
        <w:numPr>
          <w:ilvl w:val="0"/>
          <w:numId w:val="1"/>
        </w:numPr>
        <w:spacing w:after="90"/>
      </w:pPr>
      <w:r>
        <w:rPr>
          <w:rFonts w:ascii="Calibri" w:cs="Calibri" w:eastAsia="Calibri" w:hAnsi="Calibri"/>
          <w:sz w:val="22"/>
          <w:szCs w:val="22"/>
        </w:rPr>
        <w:t xml:space="preserve">“Khipu como sistema de escritura” (conclusión general) → sin evidencia independiente nueva en este paper específico; hereda el argumento de Clindaniel 2019, que sí se apoya en una definición lingüística (Boone 2011) externa, pero que este paper no vuelve a defender con datos propios.</w:t>
      </w:r>
    </w:p>
    <w:p>
      <w:pPr>
        <w:spacing w:after="160"/>
        <w:jc w:val="both"/>
      </w:pPr>
      <w:r>
        <w:rPr>
          <w:rFonts w:ascii="Calibri" w:cs="Calibri" w:eastAsia="Calibri" w:hAnsi="Calibri"/>
          <w:sz w:val="22"/>
          <w:szCs w:val="22"/>
        </w:rPr>
        <w:t xml:space="preserve">Siguiendo la instrucción explícita del pedido: cuando el algoritmo encuentra un patrón sin evidencia independiente que le dé significado, esa interpretación debe considerarse provisional. Aplicando este criterio, dos de las cinco conclusiones principales del paper (consistencia imperial amplia, y la generalización a “sistema de escritura”) deberían leerse como provisionales en mayor medida de lo que el lenguaje de la Conclusión sugiere; las otras tres tienen, en distinto grado, algún respaldo independiente parcial que las hace razonablemente mejor fundamentadas, aunque ninguna alcanza el nivel de prueba concluyente.</w:t>
      </w:r>
    </w:p>
    <w:p>
      <w:pPr>
        <w:pStyle w:val="Heading1"/>
        <w:pageBreakBefore/>
        <w:spacing w:after="240" w:before="480"/>
      </w:pPr>
      <w:r>
        <w:t xml:space="preserve">17. El problema de “garbage in, garbage out” aplicado específicamente a este paper</w:t>
      </w:r>
    </w:p>
    <w:p>
      <w:pPr>
        <w:spacing w:after="160"/>
        <w:jc w:val="both"/>
      </w:pPr>
      <w:r>
        <w:rPr>
          <w:rFonts w:ascii="Calibri" w:cs="Calibri" w:eastAsia="Calibri" w:hAnsi="Calibri"/>
          <w:sz w:val="22"/>
          <w:szCs w:val="22"/>
        </w:rPr>
        <w:t xml:space="preserve">Pregunta central: ¿qué ocurriría si la representación inicial (KCCS + estructura tipo-texto) fuese incorrecta o incompleta como modelo de la estructura real del khipu? ¿Podría el algoritmo producir resultados técnicamente correctos sobre una representación que no representa correctamente la estructura real del khipu?</w:t>
      </w:r>
    </w:p>
    <w:p>
      <w:pPr>
        <w:pStyle w:val="Heading2"/>
        <w:spacing w:after="160" w:before="340"/>
      </w:pPr>
      <w:r>
        <w:t xml:space="preserve">17.1 La respuesta corta, aplicada a este paper específico</w:t>
      </w:r>
    </w:p>
    <w:p>
      <w:pPr>
        <w:spacing w:after="160"/>
        <w:jc w:val="both"/>
      </w:pPr>
      <w:r>
        <w:rPr>
          <w:rFonts w:ascii="Calibri" w:cs="Calibri" w:eastAsia="Calibri" w:hAnsi="Calibri"/>
          <w:sz w:val="22"/>
          <w:szCs w:val="22"/>
        </w:rPr>
        <w:t xml:space="preserve">Sí, y esto no es una observación genérica sobre machine learning en abstracto — es una consecuencia directa y verificable de cómo está construido específicamente el pipeline de CI-2024. BERT, UMAP y HDBSCAN son herramientas diseñadas para encontrar y visualizar estructura estadística en cualquier secuencia categórica de entrada con suficiente regularidad interna. No tienen forma de "saber" si la unidad de segmentación que se les entrega (grupo de cuerdas = oración) corresponde a la unidad de significado real que los khipukamayuqs usaban, o si es una segmentación impuesta por convención de catalogación moderna (cómo un investigador decidió agrupar visualmente las cuerdas al registrar el khipu en la base de datos).</w:t>
      </w:r>
    </w:p>
    <w:p>
      <w:pPr>
        <w:pStyle w:val="Heading2"/>
        <w:spacing w:after="160" w:before="340"/>
      </w:pPr>
      <w:r>
        <w:t xml:space="preserve">17.2 Dónde específicamente podría entrar “garbage” en este pipeline, sin que el resultado técnico lo delate</w:t>
      </w:r>
    </w:p>
    <w:p>
      <w:pPr>
        <w:pStyle w:val="ListParagraph"/>
        <w:numPr>
          <w:ilvl w:val="0"/>
          <w:numId w:val="1"/>
        </w:numPr>
        <w:spacing w:after="90"/>
      </w:pPr>
      <w:r>
        <w:rPr>
          <w:rFonts w:ascii="Calibri" w:cs="Calibri" w:eastAsia="Calibri" w:hAnsi="Calibri"/>
          <w:sz w:val="22"/>
          <w:szCs w:val="22"/>
        </w:rPr>
        <w:t xml:space="preserve">Si la segmentación en “grupos de cuerdas” de la base OKR no correspondiera siempre a una unidad de significado indígena real, sino en parte a una convención de registro (por ejemplo, agrupar cuerdas por proximidad física visible sin que el khipukamayuq original las hubiera concebido como una unidad), el modelo igualmente aprendería a predecir colores enmascarados con precisión (como muestra la Figura 2, sin sobreajuste) — porque BERT solo necesita que exista regularidad estadística en la agrupación que se le da, no que esa agrupación sea la “correcta” en sentido cultural.</w:t>
      </w:r>
    </w:p>
    <w:p>
      <w:pPr>
        <w:pStyle w:val="ListParagraph"/>
        <w:numPr>
          <w:ilvl w:val="0"/>
          <w:numId w:val="1"/>
        </w:numPr>
        <w:spacing w:after="90"/>
      </w:pPr>
      <w:r>
        <w:rPr>
          <w:rFonts w:ascii="Calibri" w:cs="Calibri" w:eastAsia="Calibri" w:hAnsi="Calibri"/>
          <w:sz w:val="22"/>
          <w:szCs w:val="22"/>
        </w:rPr>
        <w:t xml:space="preserve">Si el esquema KCCS colapsara distinciones de color que sí eran significativas para los khipukamayuqs (por ejemplo, si dos de los nueve códigos Ascher agrupados bajo “B3” tuvieran, en realidad, significados distintos para un khipukamayuq inca, pero indistinguibles para un catalogador moderno bajo condiciones de luz e instrumentación estándar), el modelo simplemente no podría descubrir esa distinción — no porque no exista, sino porque la representación de entrada ya la eliminó antes de que el algoritmo tuviera oportunidad de verla. El paper reconoce este riesgo de forma parcial y con un control razonable (comparación KCCS vs. Ascher desagregado, p.12-13), pero ese control solo demuestra que el colapso de códigos no introduce ruido — no puede demostrar (por definición, con estos datos) que el colapso no esté también ocultando señal real.</w:t>
      </w:r>
    </w:p>
    <w:p>
      <w:pPr>
        <w:pStyle w:val="ListParagraph"/>
        <w:numPr>
          <w:ilvl w:val="0"/>
          <w:numId w:val="1"/>
        </w:numPr>
        <w:spacing w:after="90"/>
      </w:pPr>
      <w:r>
        <w:rPr>
          <w:rFonts w:ascii="Calibri" w:cs="Calibri" w:eastAsia="Calibri" w:hAnsi="Calibri"/>
          <w:sz w:val="22"/>
          <w:szCs w:val="22"/>
        </w:rPr>
        <w:t xml:space="preserve">Si la dirección de lectura de un khipu fragmentario fue asignada por defecto por un catalogador (como documenta el Basel Khipu Report para MM012), el modelo aprendería regularidades posicionales sobre una secuencia que, en algunos casos, podría estar invertida respecto a la secuencia original — y el resultado técnico (embeddings coherentes, clusters nítidos) no ofrecería ninguna señal de alerta sobre este problema, porque el modelo no tiene forma de detectar que una secuencia de entrada está en el orden equivocado.</w:t>
      </w:r>
    </w:p>
    <w:p>
      <w:pPr>
        <w:pStyle w:val="Heading2"/>
        <w:spacing w:after="160" w:before="340"/>
      </w:pPr>
      <w:r>
        <w:t xml:space="preserve">17.3 Por qué esto no es una crítica vacía o genérica</w:t>
      </w:r>
    </w:p>
    <w:p>
      <w:pPr>
        <w:spacing w:after="160"/>
        <w:jc w:val="both"/>
      </w:pPr>
      <w:r>
        <w:rPr>
          <w:rFonts w:ascii="Calibri" w:cs="Calibri" w:eastAsia="Calibri" w:hAnsi="Calibri"/>
          <w:sz w:val="22"/>
          <w:szCs w:val="22"/>
        </w:rPr>
        <w:t xml:space="preserve">La razón por la que estos tres puntos son relevantes específicamente para este paper (y no solo observaciones abstractas sobre cualquier proyecto de machine learning) es que los tres corresponden a decisiones de representación documentadas en el propio corpus bibliográfico de khipus ya revisado en este proyecto: la convención de agrupación de cuerdas, el esquema KCCS de Brezine, y la resolución de dirección de lectura en khipus fragmentarios son todas decisiones humanas descritas explícitamente en otras fuentes de este mismo corpus (Basel Khipu Report; Urton y Brezine 2011). No son hipotéticos genéricos: son los pasos reales, ya documentados, por los que pasó cada uno de los 48,681 registros de color antes de llegar al modelo de CI-2024.</w:t>
      </w:r>
    </w:p>
    <w:p>
      <w:pPr>
        <w:pStyle w:val="Heading2"/>
        <w:spacing w:after="160" w:before="340"/>
      </w:pPr>
      <w:r>
        <w:t xml:space="preserve">17.4 Conclusión de esta sección</w:t>
      </w:r>
    </w:p>
    <w:p>
      <w:pPr>
        <w:spacing w:after="160"/>
        <w:jc w:val="both"/>
      </w:pPr>
      <w:r>
        <w:rPr>
          <w:rFonts w:ascii="Calibri" w:cs="Calibri" w:eastAsia="Calibri" w:hAnsi="Calibri"/>
          <w:sz w:val="22"/>
          <w:szCs w:val="22"/>
        </w:rPr>
        <w:t xml:space="preserve">El paper puede ser (y, según la evaluación técnica de este documento, probablemente es) internamente correcto — es decir, hace bien lo que se propone hacer con los datos que recibe — sin que eso garantice que los datos que recibe representen fielmente la estructura de significado original del khipu físico. La distinción entre “el modelo funciona bien” y “el modelo descubre la verdad sobre los khipus” es, precisamente, la distinción que esta sección —y todo este documento— busca mantener visible.</w:t>
      </w:r>
    </w:p>
    <w:p>
      <w:pPr>
        <w:pStyle w:val="Heading1"/>
        <w:pageBreakBefore/>
        <w:spacing w:after="240" w:before="480"/>
      </w:pPr>
      <w:r>
        <w:t xml:space="preserve">18. Qué experimentos faltan</w:t>
      </w:r>
    </w:p>
    <w:p>
      <w:pPr>
        <w:spacing w:after="160"/>
        <w:jc w:val="both"/>
      </w:pPr>
      <w:r>
        <w:rPr>
          <w:rFonts w:ascii="Calibri" w:cs="Calibri" w:eastAsia="Calibri" w:hAnsi="Calibri"/>
          <w:sz w:val="22"/>
          <w:szCs w:val="22"/>
        </w:rPr>
        <w:t xml:space="preserve">Para cada debilidad identificada en las secciones anteriores que sea empíricamente comprobable, se propone aquí un experimento concreto que podría confirmarla o descartarla. No se proponen experimentos para preguntas que son, por naturaleza, interpretativas (p.ej. no hay un “experimento” que resuelva si el khipu “es” un sistema de escritura en sentido filosófico).</w:t>
      </w:r>
    </w:p>
    <w:p>
      <w:pPr>
        <w:pStyle w:val="Heading2"/>
        <w:spacing w:after="160" w:before="340"/>
      </w:pPr>
      <w:r>
        <w:t xml:space="preserve">18.1 Control de permutación (contra la sección 3.2 y 13.5)</w:t>
      </w:r>
    </w:p>
    <w:p>
      <w:pPr>
        <w:spacing w:after="160"/>
        <w:jc w:val="both"/>
      </w:pPr>
      <w:r>
        <w:rPr>
          <w:rFonts w:ascii="Calibri" w:cs="Calibri" w:eastAsia="Calibri" w:hAnsi="Calibri"/>
          <w:b/>
          <w:bCs/>
          <w:sz w:val="22"/>
          <w:szCs w:val="22"/>
        </w:rPr>
        <w:t xml:space="preserve">Debilidad que aborda: </w:t>
      </w:r>
      <w:r>
        <w:rPr>
          <w:rFonts w:ascii="Calibri" w:cs="Calibri" w:eastAsia="Calibri" w:hAnsi="Calibri"/>
          <w:sz w:val="22"/>
          <w:szCs w:val="22"/>
        </w:rPr>
        <w:t xml:space="preserve">No se puede descartar que el pipeline BERT+UMAP+HDBSCAN encuentre estructura incluso en datos sin significado semántico real.</w:t>
      </w:r>
    </w:p>
    <w:p>
      <w:pPr>
        <w:spacing w:after="160"/>
        <w:jc w:val="both"/>
      </w:pPr>
      <w:r>
        <w:rPr>
          <w:rFonts w:ascii="Calibri" w:cs="Calibri" w:eastAsia="Calibri" w:hAnsi="Calibri"/>
          <w:b/>
          <w:bCs/>
          <w:sz w:val="22"/>
          <w:szCs w:val="22"/>
        </w:rPr>
        <w:t xml:space="preserve">Experimento propuesto: </w:t>
      </w:r>
      <w:r>
        <w:rPr>
          <w:rFonts w:ascii="Calibri" w:cs="Calibri" w:eastAsia="Calibri" w:hAnsi="Calibri"/>
          <w:sz w:val="22"/>
          <w:szCs w:val="22"/>
        </w:rPr>
        <w:t xml:space="preserve">Entrenar el mismo modelo sobre una versión de los datos del OKR con los códigos de color permutados aleatoriamente dentro de cada grupo de cuerdas (conservando la frecuencia global de cada color en el corpus, pero destruyendo el orden y la co-ocurrencia real). Comparar el número, tamaño y nitidez (p.ej. mediante el coeficiente de silueta) de los clusters resultantes contra los del corpus real.</w:t>
      </w:r>
    </w:p>
    <w:p>
      <w:pPr>
        <w:spacing w:after="160"/>
        <w:jc w:val="both"/>
      </w:pPr>
      <w:r>
        <w:rPr>
          <w:rFonts w:ascii="Calibri" w:cs="Calibri" w:eastAsia="Calibri" w:hAnsi="Calibri"/>
          <w:b/>
          <w:bCs/>
          <w:sz w:val="22"/>
          <w:szCs w:val="22"/>
        </w:rPr>
        <w:t xml:space="preserve">Qué confirmaría o descartaría: </w:t>
      </w:r>
      <w:r>
        <w:rPr>
          <w:rFonts w:ascii="Calibri" w:cs="Calibri" w:eastAsia="Calibri" w:hAnsi="Calibri"/>
          <w:sz w:val="22"/>
          <w:szCs w:val="22"/>
        </w:rPr>
        <w:t xml:space="preserve">Si los datos permutados producen clusters comparablemente nítidos, esto debilitaría fuertemente la afirmación de “sistema coherente”. Si producen clusters mucho menos definidos (o ninguno), esto respaldaría de forma sustancialmente más sólida que la estructura encontrada en los datos reales no es un artefacto del método.</w:t>
      </w:r>
    </w:p>
    <w:p>
      <w:pPr>
        <w:pStyle w:val="Heading2"/>
        <w:spacing w:after="160" w:before="340"/>
      </w:pPr>
      <w:r>
        <w:t xml:space="preserve">18.2 Análisis de sensibilidad de hiperparámetros de clustering (contra la sección 13.4)</w:t>
      </w:r>
    </w:p>
    <w:p>
      <w:pPr>
        <w:spacing w:after="160"/>
        <w:jc w:val="both"/>
      </w:pPr>
      <w:r>
        <w:rPr>
          <w:rFonts w:ascii="Calibri" w:cs="Calibri" w:eastAsia="Calibri" w:hAnsi="Calibri"/>
          <w:b/>
          <w:bCs/>
          <w:sz w:val="22"/>
          <w:szCs w:val="22"/>
        </w:rPr>
        <w:t xml:space="preserve">Debilidad que aborda: </w:t>
      </w:r>
      <w:r>
        <w:rPr>
          <w:rFonts w:ascii="Calibri" w:cs="Calibri" w:eastAsia="Calibri" w:hAnsi="Calibri"/>
          <w:sz w:val="22"/>
          <w:szCs w:val="22"/>
        </w:rPr>
        <w:t xml:space="preserve">El número de clusters (30/127/20) depende de umbrales elegidos, no reportados como robustos frente a alternativas.</w:t>
      </w:r>
    </w:p>
    <w:p>
      <w:pPr>
        <w:spacing w:after="160"/>
        <w:jc w:val="both"/>
      </w:pPr>
      <w:r>
        <w:rPr>
          <w:rFonts w:ascii="Calibri" w:cs="Calibri" w:eastAsia="Calibri" w:hAnsi="Calibri"/>
          <w:b/>
          <w:bCs/>
          <w:sz w:val="22"/>
          <w:szCs w:val="22"/>
        </w:rPr>
        <w:t xml:space="preserve">Experimento propuesto: </w:t>
      </w:r>
      <w:r>
        <w:rPr>
          <w:rFonts w:ascii="Calibri" w:cs="Calibri" w:eastAsia="Calibri" w:hAnsi="Calibri"/>
          <w:sz w:val="22"/>
          <w:szCs w:val="22"/>
        </w:rPr>
        <w:t xml:space="preserve">Repetir el clustering HDBSCAN variando sistemáticamente el tamaño mínimo de clúster (p.ej. en pasos de 25 desde 25 hasta 500) y reportar cómo cambia el número de clusters grandes identificados, así como qué tan estable es la asignación de cada color a lo largo de ese rango.</w:t>
      </w:r>
    </w:p>
    <w:p>
      <w:pPr>
        <w:spacing w:after="160"/>
        <w:jc w:val="both"/>
      </w:pPr>
      <w:r>
        <w:rPr>
          <w:rFonts w:ascii="Calibri" w:cs="Calibri" w:eastAsia="Calibri" w:hAnsi="Calibri"/>
          <w:b/>
          <w:bCs/>
          <w:sz w:val="22"/>
          <w:szCs w:val="22"/>
        </w:rPr>
        <w:t xml:space="preserve">Qué confirmaría o descartaría: </w:t>
      </w:r>
      <w:r>
        <w:rPr>
          <w:rFonts w:ascii="Calibri" w:cs="Calibri" w:eastAsia="Calibri" w:hAnsi="Calibri"/>
          <w:sz w:val="22"/>
          <w:szCs w:val="22"/>
        </w:rPr>
        <w:t xml:space="preserve">Estabilidad del número de clusters en un rango amplio de umbrales respaldaría que “30 dominios semánticos” es una cifra robusta; alta sensibilidad al umbral debilitaría el peso que se le da a esa cifra específica en el Abstract.</w:t>
      </w:r>
    </w:p>
    <w:p>
      <w:pPr>
        <w:pStyle w:val="Heading2"/>
        <w:spacing w:after="160" w:before="340"/>
      </w:pPr>
      <w:r>
        <w:t xml:space="preserve">18.3 Modelo con variable de género administrativo (contra la sección 12.1 y 13.1)</w:t>
      </w:r>
    </w:p>
    <w:p>
      <w:pPr>
        <w:spacing w:after="160"/>
        <w:jc w:val="both"/>
      </w:pPr>
      <w:r>
        <w:rPr>
          <w:rFonts w:ascii="Calibri" w:cs="Calibri" w:eastAsia="Calibri" w:hAnsi="Calibri"/>
          <w:b/>
          <w:bCs/>
          <w:sz w:val="22"/>
          <w:szCs w:val="22"/>
        </w:rPr>
        <w:t xml:space="preserve">Debilidad que aborda: </w:t>
      </w:r>
      <w:r>
        <w:rPr>
          <w:rFonts w:ascii="Calibri" w:cs="Calibri" w:eastAsia="Calibri" w:hAnsi="Calibri"/>
          <w:sz w:val="22"/>
          <w:szCs w:val="22"/>
        </w:rPr>
        <w:t xml:space="preserve">El modelo agrega todos los géneros administrativos de khipu en un solo análisis, pese a evidencia previa de diferencias por género.</w:t>
      </w:r>
    </w:p>
    <w:p>
      <w:pPr>
        <w:spacing w:after="160"/>
        <w:jc w:val="both"/>
      </w:pPr>
      <w:r>
        <w:rPr>
          <w:rFonts w:ascii="Calibri" w:cs="Calibri" w:eastAsia="Calibri" w:hAnsi="Calibri"/>
          <w:b/>
          <w:bCs/>
          <w:sz w:val="22"/>
          <w:szCs w:val="22"/>
        </w:rPr>
        <w:t xml:space="preserve">Experimento propuesto: </w:t>
      </w:r>
      <w:r>
        <w:rPr>
          <w:rFonts w:ascii="Calibri" w:cs="Calibri" w:eastAsia="Calibri" w:hAnsi="Calibri"/>
          <w:sz w:val="22"/>
          <w:szCs w:val="22"/>
        </w:rPr>
        <w:t xml:space="preserve">Para el subconjunto de khipus con género administrativo identificable (usando los criterios ya publicados por Medrano y Khosla 2024 o por la propia disertación de Clindaniel 2019), repetir el análisis de polisemia por color separando khipus de contabilidad laboral, de almacén, y otros géneros, y comparar si la polisemia detectada disminuye al controlar por género.</w:t>
      </w:r>
    </w:p>
    <w:p>
      <w:pPr>
        <w:spacing w:after="160"/>
        <w:jc w:val="both"/>
      </w:pPr>
      <w:r>
        <w:rPr>
          <w:rFonts w:ascii="Calibri" w:cs="Calibri" w:eastAsia="Calibri" w:hAnsi="Calibri"/>
          <w:b/>
          <w:bCs/>
          <w:sz w:val="22"/>
          <w:szCs w:val="22"/>
        </w:rPr>
        <w:t xml:space="preserve">Qué confirmaría o descartaría: </w:t>
      </w:r>
      <w:r>
        <w:rPr>
          <w:rFonts w:ascii="Calibri" w:cs="Calibri" w:eastAsia="Calibri" w:hAnsi="Calibri"/>
          <w:sz w:val="22"/>
          <w:szCs w:val="22"/>
        </w:rPr>
        <w:t xml:space="preserve">Si la polisemia se reduce sustancialmente dentro de cada género, esto sugeriría que gran parte de la “polisemia” detectada es en realidad “monosemia específica de género” mal mezclada en el análisis agregado — un resultado que cambiaría la interpretación central del paper.</w:t>
      </w:r>
    </w:p>
    <w:p>
      <w:pPr>
        <w:pStyle w:val="Heading2"/>
        <w:spacing w:after="160" w:before="340"/>
      </w:pPr>
      <w:r>
        <w:t xml:space="preserve">18.4 Modelo con variable numérica/aritmética incorporada (contra la sección 4)</w:t>
      </w:r>
    </w:p>
    <w:p>
      <w:pPr>
        <w:spacing w:after="160"/>
        <w:jc w:val="both"/>
      </w:pPr>
      <w:r>
        <w:rPr>
          <w:rFonts w:ascii="Calibri" w:cs="Calibri" w:eastAsia="Calibri" w:hAnsi="Calibri"/>
          <w:b/>
          <w:bCs/>
          <w:sz w:val="22"/>
          <w:szCs w:val="22"/>
        </w:rPr>
        <w:t xml:space="preserve">Debilidad que aborda: </w:t>
      </w:r>
      <w:r>
        <w:rPr>
          <w:rFonts w:ascii="Calibri" w:cs="Calibri" w:eastAsia="Calibri" w:hAnsi="Calibri"/>
          <w:sz w:val="22"/>
          <w:szCs w:val="22"/>
        </w:rPr>
        <w:t xml:space="preserve">El modelo no incorpora el valor numérico ni el rol aritmético de la cuerda, pese a evidencia de que el color puede marcar función aritmética.</w:t>
      </w:r>
    </w:p>
    <w:p>
      <w:pPr>
        <w:spacing w:after="160"/>
        <w:jc w:val="both"/>
      </w:pPr>
      <w:r>
        <w:rPr>
          <w:rFonts w:ascii="Calibri" w:cs="Calibri" w:eastAsia="Calibri" w:hAnsi="Calibri"/>
          <w:b/>
          <w:bCs/>
          <w:sz w:val="22"/>
          <w:szCs w:val="22"/>
        </w:rPr>
        <w:t xml:space="preserve">Experimento propuesto: </w:t>
      </w:r>
      <w:r>
        <w:rPr>
          <w:rFonts w:ascii="Calibri" w:cs="Calibri" w:eastAsia="Calibri" w:hAnsi="Calibri"/>
          <w:sz w:val="22"/>
          <w:szCs w:val="22"/>
        </w:rPr>
        <w:t xml:space="preserve">Entrenar una segunda versión del modelo que incluya, como token adicional o feature contextual, el rol aritmético de la cuerda cuando se conoce (sumando/suma/resultado, usando las relaciones de Ascher generalizadas identificadas por Medrano y Khosla 2024 para el subconjunto de khipus donde aplica) y comparar si mejora la capacidad predictiva del modelo o si cambia la estructura de los clusters resultantes.</w:t>
      </w:r>
    </w:p>
    <w:p>
      <w:pPr>
        <w:spacing w:after="160"/>
        <w:jc w:val="both"/>
      </w:pPr>
      <w:r>
        <w:rPr>
          <w:rFonts w:ascii="Calibri" w:cs="Calibri" w:eastAsia="Calibri" w:hAnsi="Calibri"/>
          <w:b/>
          <w:bCs/>
          <w:sz w:val="22"/>
          <w:szCs w:val="22"/>
        </w:rPr>
        <w:t xml:space="preserve">Qué confirmaría o descartaría: </w:t>
      </w:r>
      <w:r>
        <w:rPr>
          <w:rFonts w:ascii="Calibri" w:cs="Calibri" w:eastAsia="Calibri" w:hAnsi="Calibri"/>
          <w:sz w:val="22"/>
          <w:szCs w:val="22"/>
        </w:rPr>
        <w:t xml:space="preserve">Una mejora sustancial de desempeño o un cambio relevante en los clusters respaldaría que la estructura aritmética es parcialmente responsable de los patrones de color detectados; ningún cambio respaldaría que el color aporta señal independiente de la estructura numérica.</w:t>
      </w:r>
    </w:p>
    <w:p>
      <w:pPr>
        <w:pStyle w:val="Heading2"/>
        <w:spacing w:after="160" w:before="340"/>
      </w:pPr>
      <w:r>
        <w:t xml:space="preserve">18.5 Prueba directa de sensibilidad al orden (contra la sección 6)</w:t>
      </w:r>
    </w:p>
    <w:p>
      <w:pPr>
        <w:spacing w:after="160"/>
        <w:jc w:val="both"/>
      </w:pPr>
      <w:r>
        <w:rPr>
          <w:rFonts w:ascii="Calibri" w:cs="Calibri" w:eastAsia="Calibri" w:hAnsi="Calibri"/>
          <w:b/>
          <w:bCs/>
          <w:sz w:val="22"/>
          <w:szCs w:val="22"/>
        </w:rPr>
        <w:t xml:space="preserve">Debilidad que aborda: </w:t>
      </w:r>
      <w:r>
        <w:rPr>
          <w:rFonts w:ascii="Calibri" w:cs="Calibri" w:eastAsia="Calibri" w:hAnsi="Calibri"/>
          <w:sz w:val="22"/>
          <w:szCs w:val="22"/>
        </w:rPr>
        <w:t xml:space="preserve">No se demuestra explícitamente que el modelo distinga secuencias con el mismo conjunto de colores en distinto orden.</w:t>
      </w:r>
    </w:p>
    <w:p>
      <w:pPr>
        <w:spacing w:after="160"/>
        <w:jc w:val="both"/>
      </w:pPr>
      <w:r>
        <w:rPr>
          <w:rFonts w:ascii="Calibri" w:cs="Calibri" w:eastAsia="Calibri" w:hAnsi="Calibri"/>
          <w:b/>
          <w:bCs/>
          <w:sz w:val="22"/>
          <w:szCs w:val="22"/>
        </w:rPr>
        <w:t xml:space="preserve">Experimento propuesto: </w:t>
      </w:r>
      <w:r>
        <w:rPr>
          <w:rFonts w:ascii="Calibri" w:cs="Calibri" w:eastAsia="Calibri" w:hAnsi="Calibri"/>
          <w:sz w:val="22"/>
          <w:szCs w:val="22"/>
        </w:rPr>
        <w:t xml:space="preserve">Tomar una muestra de grupos de cuerdas reales, invertir artificialmente su orden (o permutar el orden interno conservando el conjunto de colores), calcular el embedding resultante y medir la similitud coseno contra el embedding original. Una baja similitud confirmaría sensibilidad al orden; una alta similitud indicaría que el modelo se comporta, en la práctica, más como una “bolsa de colores” de lo que su arquitectura permitiría en principio.</w:t>
      </w:r>
    </w:p>
    <w:p>
      <w:pPr>
        <w:pStyle w:val="Heading2"/>
        <w:spacing w:after="160" w:before="340"/>
      </w:pPr>
      <w:r>
        <w:t xml:space="preserve">18.6 Validación ciega por terceros (contra la sección 13.3)</w:t>
      </w:r>
    </w:p>
    <w:p>
      <w:pPr>
        <w:spacing w:after="160"/>
        <w:jc w:val="both"/>
      </w:pPr>
      <w:r>
        <w:rPr>
          <w:rFonts w:ascii="Calibri" w:cs="Calibri" w:eastAsia="Calibri" w:hAnsi="Calibri"/>
          <w:b/>
          <w:bCs/>
          <w:sz w:val="22"/>
          <w:szCs w:val="22"/>
        </w:rPr>
        <w:t xml:space="preserve">Debilidad que aborda: </w:t>
      </w:r>
      <w:r>
        <w:rPr>
          <w:rFonts w:ascii="Calibri" w:cs="Calibri" w:eastAsia="Calibri" w:hAnsi="Calibri"/>
          <w:sz w:val="22"/>
          <w:szCs w:val="22"/>
        </w:rPr>
        <w:t xml:space="preserve">La única validación cualitativa del paper compara el modelo con el juicio previo del propio autor.</w:t>
      </w:r>
    </w:p>
    <w:p>
      <w:pPr>
        <w:spacing w:after="160"/>
        <w:jc w:val="both"/>
      </w:pPr>
      <w:r>
        <w:rPr>
          <w:rFonts w:ascii="Calibri" w:cs="Calibri" w:eastAsia="Calibri" w:hAnsi="Calibri"/>
          <w:b/>
          <w:bCs/>
          <w:sz w:val="22"/>
          <w:szCs w:val="22"/>
        </w:rPr>
        <w:t xml:space="preserve">Experimento propuesto: </w:t>
      </w:r>
      <w:r>
        <w:rPr>
          <w:rFonts w:ascii="Calibri" w:cs="Calibri" w:eastAsia="Calibri" w:hAnsi="Calibri"/>
          <w:sz w:val="22"/>
          <w:szCs w:val="22"/>
        </w:rPr>
        <w:t xml:space="preserve">Seleccionar un conjunto de pares de khipus cuya relación (misma función vs. función distinta) sea conocida por evidencia arqueológica o documental independiente del propio Clindaniel (p.ej. casos documentados por Urton, Hyland o Medrano sin involucramiento directo de Clindaniel en su interpretación original) y comparar, sin que el evaluador conozca de antemano la asignación de clusters del modelo, si el agrupamiento coincide con la relación funcional ya conocida.</w:t>
      </w:r>
    </w:p>
    <w:p>
      <w:pPr>
        <w:pStyle w:val="Heading2"/>
        <w:spacing w:after="160" w:before="340"/>
      </w:pPr>
      <w:r>
        <w:t xml:space="preserve">18.7 Verificación cruzada con las excepciones geográficas ya conocidas (contra la sección 12.3)</w:t>
      </w:r>
    </w:p>
    <w:p>
      <w:pPr>
        <w:spacing w:after="160"/>
        <w:jc w:val="both"/>
      </w:pPr>
      <w:r>
        <w:rPr>
          <w:rFonts w:ascii="Calibri" w:cs="Calibri" w:eastAsia="Calibri" w:hAnsi="Calibri"/>
          <w:b/>
          <w:bCs/>
          <w:sz w:val="22"/>
          <w:szCs w:val="22"/>
        </w:rPr>
        <w:t xml:space="preserve">Debilidad que aborda: </w:t>
      </w:r>
      <w:r>
        <w:rPr>
          <w:rFonts w:ascii="Calibri" w:cs="Calibri" w:eastAsia="Calibri" w:hAnsi="Calibri"/>
          <w:sz w:val="22"/>
          <w:szCs w:val="22"/>
        </w:rPr>
        <w:t xml:space="preserve">No se reporta si los khipus de Colesuyu o Armatambo —ya identificados en trabajo previo del mismo autor como geográficamente anómalos— aparecen entre los casos “altamente divergentes” del análisis de consistencia geográfica de CI-2024.</w:t>
      </w:r>
    </w:p>
    <w:p>
      <w:pPr>
        <w:spacing w:after="160"/>
        <w:jc w:val="both"/>
      </w:pPr>
      <w:r>
        <w:rPr>
          <w:rFonts w:ascii="Calibri" w:cs="Calibri" w:eastAsia="Calibri" w:hAnsi="Calibri"/>
          <w:b/>
          <w:bCs/>
          <w:sz w:val="22"/>
          <w:szCs w:val="22"/>
        </w:rPr>
        <w:t xml:space="preserve">Experimento propuesto: </w:t>
      </w:r>
      <w:r>
        <w:rPr>
          <w:rFonts w:ascii="Calibri" w:cs="Calibri" w:eastAsia="Calibri" w:hAnsi="Calibri"/>
          <w:sz w:val="22"/>
          <w:szCs w:val="22"/>
        </w:rPr>
        <w:t xml:space="preserve">Cruzar explícitamente la lista de khipus/procedencias identificados como “highly divergent” en las Figuras 10-11 de CI-2024 contra la lista de sitios ya identificados como anómalos en Clindaniel (2019, cap. 3 y 5: Armatambo, Colesuyu) y reportar el grado de coincidencia.</w:t>
      </w:r>
    </w:p>
    <w:p>
      <w:pPr>
        <w:spacing w:after="160"/>
        <w:jc w:val="both"/>
      </w:pPr>
      <w:r>
        <w:rPr>
          <w:rFonts w:ascii="Calibri" w:cs="Calibri" w:eastAsia="Calibri" w:hAnsi="Calibri"/>
          <w:b/>
          <w:bCs/>
          <w:sz w:val="22"/>
          <w:szCs w:val="22"/>
        </w:rPr>
        <w:t xml:space="preserve">Qué confirmaría o descartaría: </w:t>
      </w:r>
      <w:r>
        <w:rPr>
          <w:rFonts w:ascii="Calibri" w:cs="Calibri" w:eastAsia="Calibri" w:hAnsi="Calibri"/>
          <w:sz w:val="22"/>
          <w:szCs w:val="22"/>
        </w:rPr>
        <w:t xml:space="preserve">Coincidencia alta reforzaría la validez interna y la coherencia del programa de investigación completo del autor a través de sus dos estudios; ausencia de coincidencia plantearía una pregunta legítima sobre por qué las mismas anomalías geográficas no se replican al cambiar de variable (dirección de nudo/patrón de banding en 2019, color puro en 2024).</w:t>
      </w:r>
    </w:p>
    <w:p>
      <w:pPr>
        <w:pStyle w:val="Heading1"/>
        <w:pageBreakBefore/>
        <w:spacing w:after="240" w:before="480"/>
      </w:pPr>
      <w:r>
        <w:t xml:space="preserve">19. Ejemplos visuales: qué existe en el paper, qué falta, y qué se propone</w:t>
      </w:r>
    </w:p>
    <w:p>
      <w:pPr>
        <w:pStyle w:val="Heading2"/>
        <w:spacing w:after="160" w:before="340"/>
      </w:pPr>
      <w:r>
        <w:t xml:space="preserve">19.1 Qué figuras incluye el paper</w:t>
      </w:r>
    </w:p>
    <w:p>
      <w:pPr>
        <w:pStyle w:val="ListParagraph"/>
        <w:numPr>
          <w:ilvl w:val="0"/>
          <w:numId w:val="1"/>
        </w:numPr>
        <w:spacing w:after="90"/>
      </w:pPr>
      <w:r>
        <w:rPr>
          <w:rFonts w:ascii="Calibri" w:cs="Calibri" w:eastAsia="Calibri" w:hAnsi="Calibri"/>
          <w:sz w:val="22"/>
          <w:szCs w:val="22"/>
        </w:rPr>
        <w:t xml:space="preserve">Figura 1 (p.8): esquema de cómo se preprocesa un khipu como secuencia de tokens tipo texto (con [SEP] y [MASK]). Es la única figura que muestra directamente la transformación khipu→representación de entrada.</w:t>
      </w:r>
    </w:p>
    <w:p>
      <w:pPr>
        <w:pStyle w:val="ListParagraph"/>
        <w:numPr>
          <w:ilvl w:val="0"/>
          <w:numId w:val="1"/>
        </w:numPr>
        <w:spacing w:after="90"/>
      </w:pPr>
      <w:r>
        <w:rPr>
          <w:rFonts w:ascii="Calibri" w:cs="Calibri" w:eastAsia="Calibri" w:hAnsi="Calibri"/>
          <w:sz w:val="22"/>
          <w:szCs w:val="22"/>
        </w:rPr>
        <w:t xml:space="preserve">Figura 2 (p.9): curva de pérdida de entrenamiento/validación — evidencia técnica de que el modelo no está sobreajustado.</w:t>
      </w:r>
    </w:p>
    <w:p>
      <w:pPr>
        <w:pStyle w:val="ListParagraph"/>
        <w:numPr>
          <w:ilvl w:val="0"/>
          <w:numId w:val="1"/>
        </w:numPr>
        <w:spacing w:after="90"/>
      </w:pPr>
      <w:r>
        <w:rPr>
          <w:rFonts w:ascii="Calibri" w:cs="Calibri" w:eastAsia="Calibri" w:hAnsi="Calibri"/>
          <w:sz w:val="22"/>
          <w:szCs w:val="22"/>
        </w:rPr>
        <w:t xml:space="preserve">Figuras 3-4 (p.13-14): mapas de clusters de color en 2D (UMAP), con etiquetas de color promedio.</w:t>
      </w:r>
    </w:p>
    <w:p>
      <w:pPr>
        <w:pStyle w:val="ListParagraph"/>
        <w:numPr>
          <w:ilvl w:val="0"/>
          <w:numId w:val="1"/>
        </w:numPr>
        <w:spacing w:after="90"/>
      </w:pPr>
      <w:r>
        <w:rPr>
          <w:rFonts w:ascii="Calibri" w:cs="Calibri" w:eastAsia="Calibri" w:hAnsi="Calibri"/>
          <w:sz w:val="22"/>
          <w:szCs w:val="22"/>
        </w:rPr>
        <w:t xml:space="preserve">Figura 5 (p.15): matriz de similitud coseno entre pares de colores promedio.</w:t>
      </w:r>
    </w:p>
    <w:p>
      <w:pPr>
        <w:pStyle w:val="ListParagraph"/>
        <w:numPr>
          <w:ilvl w:val="0"/>
          <w:numId w:val="1"/>
        </w:numPr>
        <w:spacing w:after="90"/>
      </w:pPr>
      <w:r>
        <w:rPr>
          <w:rFonts w:ascii="Calibri" w:cs="Calibri" w:eastAsia="Calibri" w:hAnsi="Calibri"/>
          <w:sz w:val="22"/>
          <w:szCs w:val="22"/>
        </w:rPr>
        <w:t xml:space="preserve">Figuras 6-9 (p.17-19): histogramas de similitud coseno por color individual, ilustrando monosemia/polisemia.</w:t>
      </w:r>
    </w:p>
    <w:p>
      <w:pPr>
        <w:pStyle w:val="ListParagraph"/>
        <w:numPr>
          <w:ilvl w:val="0"/>
          <w:numId w:val="1"/>
        </w:numPr>
        <w:spacing w:after="90"/>
      </w:pPr>
      <w:r>
        <w:rPr>
          <w:rFonts w:ascii="Calibri" w:cs="Calibri" w:eastAsia="Calibri" w:hAnsi="Calibri"/>
          <w:sz w:val="22"/>
          <w:szCs w:val="22"/>
        </w:rPr>
        <w:t xml:space="preserve">Figuras 10-11 (p.21): diagramas de dispersión ("swarm plots") de consistencia geográfica por color.</w:t>
      </w:r>
    </w:p>
    <w:p>
      <w:pPr>
        <w:pStyle w:val="ListParagraph"/>
        <w:numPr>
          <w:ilvl w:val="0"/>
          <w:numId w:val="1"/>
        </w:numPr>
        <w:spacing w:after="90"/>
      </w:pPr>
      <w:r>
        <w:rPr>
          <w:rFonts w:ascii="Calibri" w:cs="Calibri" w:eastAsia="Calibri" w:hAnsi="Calibri"/>
          <w:sz w:val="22"/>
          <w:szCs w:val="22"/>
        </w:rPr>
        <w:t xml:space="preserve">Figuras 12-13 (p.22-23): mapas de clusters de "frase" (grupo de cuerdas) y de "tópico" (khipu completo), análogos a la Figura 3 pero a otros niveles de agregación.</w:t>
      </w:r>
    </w:p>
    <w:p>
      <w:pPr>
        <w:pStyle w:val="Heading2"/>
        <w:spacing w:after="160" w:before="340"/>
      </w:pPr>
      <w:r>
        <w:t xml:space="preserve">19.2 Qué falta: el lector no puede seguir visualmente la cadena completa khipu físico → representación → features → algoritmo → cluster → interpretación sin imaginar varios pasos intermedios</w:t>
      </w:r>
    </w:p>
    <w:p>
      <w:pPr>
        <w:spacing w:after="160"/>
        <w:jc w:val="both"/>
      </w:pPr>
      <w:r>
        <w:rPr>
          <w:rFonts w:ascii="Calibri" w:cs="Calibri" w:eastAsia="Calibri" w:hAnsi="Calibri"/>
          <w:b/>
          <w:bCs/>
          <w:sz w:val="22"/>
          <w:szCs w:val="22"/>
        </w:rPr>
        <w:t xml:space="preserve">Vacío 1: </w:t>
      </w:r>
      <w:r>
        <w:rPr>
          <w:rFonts w:ascii="Calibri" w:cs="Calibri" w:eastAsia="Calibri" w:hAnsi="Calibri"/>
          <w:sz w:val="22"/>
          <w:szCs w:val="22"/>
        </w:rPr>
        <w:t xml:space="preserve">No hay ninguna figura que muestre una fotografía o dibujo de un khipu físico real junto a su representación tabular/textual correspondiente — el lector debe imaginar ese primer paso sin apoyo visual directo en este paper (aunque sí existe en otras fuentes del corpus, como el Basel Khipu Report).</w:t>
      </w:r>
    </w:p>
    <w:p>
      <w:pPr>
        <w:spacing w:after="160"/>
        <w:jc w:val="both"/>
      </w:pPr>
      <w:r>
        <w:rPr>
          <w:rFonts w:ascii="Calibri" w:cs="Calibri" w:eastAsia="Calibri" w:hAnsi="Calibri"/>
          <w:b/>
          <w:bCs/>
          <w:sz w:val="22"/>
          <w:szCs w:val="22"/>
        </w:rPr>
        <w:t xml:space="preserve">Vacío 2: </w:t>
      </w:r>
      <w:r>
        <w:rPr>
          <w:rFonts w:ascii="Calibri" w:cs="Calibri" w:eastAsia="Calibri" w:hAnsi="Calibri"/>
          <w:sz w:val="22"/>
          <w:szCs w:val="22"/>
        </w:rPr>
        <w:t xml:space="preserve">No hay ningún ejemplo visual explícito del problema de repetición consecutiva (rojo→rojo→azul) ni de cómo el modelo procesa ese caso — dado que la sección 5 de este documento ya identificó que el paper no discute este caso, tampoco lo ilustra.</w:t>
      </w:r>
    </w:p>
    <w:p>
      <w:pPr>
        <w:spacing w:after="160"/>
        <w:jc w:val="both"/>
      </w:pPr>
      <w:r>
        <w:rPr>
          <w:rFonts w:ascii="Calibri" w:cs="Calibri" w:eastAsia="Calibri" w:hAnsi="Calibri"/>
          <w:b/>
          <w:bCs/>
          <w:sz w:val="22"/>
          <w:szCs w:val="22"/>
        </w:rPr>
        <w:t xml:space="preserve">Vacío 3: </w:t>
      </w:r>
      <w:r>
        <w:rPr>
          <w:rFonts w:ascii="Calibri" w:cs="Calibri" w:eastAsia="Calibri" w:hAnsi="Calibri"/>
          <w:sz w:val="22"/>
          <w:szCs w:val="22"/>
        </w:rPr>
        <w:t xml:space="preserve">No hay ninguna figura que muestre, para un khipu concreto, el pipeline completo (secuencia real → embedding real → posición en el mapa UMAP → cluster asignado → interpretación textual propuesta) en una sola vista — cada figura del paper cubre solo una etapa del pipeline por separado, exigiendo al lector reconstruir mentalmente la cadena completa.</w:t>
      </w:r>
    </w:p>
    <w:p>
      <w:pPr>
        <w:spacing w:after="160"/>
        <w:jc w:val="both"/>
      </w:pPr>
      <w:r>
        <w:rPr>
          <w:rFonts w:ascii="Calibri" w:cs="Calibri" w:eastAsia="Calibri" w:hAnsi="Calibri"/>
          <w:b/>
          <w:bCs/>
          <w:sz w:val="22"/>
          <w:szCs w:val="22"/>
        </w:rPr>
        <w:t xml:space="preserve">Vacío 4: </w:t>
      </w:r>
      <w:r>
        <w:rPr>
          <w:rFonts w:ascii="Calibri" w:cs="Calibri" w:eastAsia="Calibri" w:hAnsi="Calibri"/>
          <w:sz w:val="22"/>
          <w:szCs w:val="22"/>
        </w:rPr>
        <w:t xml:space="preserve">No hay ninguna figura que muestre qué tan sensible es el número de clusters a la elección de hiperparámetros (el análisis de sensibilidad propuesto en la sección 18.2 de este documento no tiene, por tanto, ninguna figura equivalente en el paper).</w:t>
      </w:r>
    </w:p>
    <w:p>
      <w:pPr>
        <w:pStyle w:val="Heading2"/>
        <w:spacing w:after="160" w:before="340"/>
      </w:pPr>
      <w:r>
        <w:t xml:space="preserve">19.3 Ejemplos visuales propuestos (hipotéticos, marcados explícitamente como tales)</w:t>
      </w:r>
    </w:p>
    <w:p>
      <w:pPr>
        <w:spacing w:after="160"/>
        <w:jc w:val="both"/>
      </w:pPr>
      <w:r>
        <w:rPr>
          <w:rFonts w:ascii="Calibri" w:cs="Calibri" w:eastAsia="Calibri" w:hAnsi="Calibri"/>
          <w:sz w:val="22"/>
          <w:szCs w:val="22"/>
        </w:rPr>
        <w:t xml:space="preserve">Los siguientes son ejemplos hipotéticos propuestos por esta evaluación para ilustrar mejor el pipeline al lector — ninguno de ellos proviene del paper ni pretende representar datos reales de un khipu específico.</w:t>
      </w:r>
    </w:p>
    <w:p>
      <w:pPr>
        <w:spacing w:after="160"/>
        <w:jc w:val="both"/>
      </w:pPr>
      <w:r>
        <w:rPr>
          <w:rFonts w:ascii="Calibri" w:cs="Calibri" w:eastAsia="Calibri" w:hAnsi="Calibri"/>
          <w:b/>
          <w:bCs/>
          <w:sz w:val="22"/>
          <w:szCs w:val="22"/>
        </w:rPr>
        <w:t xml:space="preserve">Ejemplo hipotético A: </w:t>
      </w:r>
      <w:r>
        <w:rPr>
          <w:rFonts w:ascii="Calibri" w:cs="Calibri" w:eastAsia="Calibri" w:hAnsi="Calibri"/>
          <w:sz w:val="22"/>
          <w:szCs w:val="22"/>
        </w:rPr>
        <w:t xml:space="preserve">Fotografía o dibujo esquemático de un khipu con 5 cuerdas coloreadas, junto a su fila correspondiente en una tabla KDB (columna de color) y su representación como secuencia de tokens BERT (“B2 A1 [SEP] B3 B3 A1”), con flechas que conecten visualmente cada cuerda física con su token.</w:t>
      </w:r>
    </w:p>
    <w:p>
      <w:pPr>
        <w:spacing w:after="160"/>
        <w:jc w:val="both"/>
      </w:pPr>
      <w:r>
        <w:rPr>
          <w:rFonts w:ascii="Calibri" w:cs="Calibri" w:eastAsia="Calibri" w:hAnsi="Calibri"/>
          <w:b/>
          <w:bCs/>
          <w:sz w:val="22"/>
          <w:szCs w:val="22"/>
        </w:rPr>
        <w:t xml:space="preserve">Ejemplo hipotético B: </w:t>
      </w:r>
      <w:r>
        <w:rPr>
          <w:rFonts w:ascii="Calibri" w:cs="Calibri" w:eastAsia="Calibri" w:hAnsi="Calibri"/>
          <w:sz w:val="22"/>
          <w:szCs w:val="22"/>
        </w:rPr>
        <w:t xml:space="preserve">La secuencia rojo→azul→amarillo representada como tres puntos en un espacio de embeddings simplificado a 2 dimensiones, mostrando cómo la posición de “azul” podría (hipotéticamente) diferir si apareciera en el medio de esa secuencia frente a al principio de otra secuencia distinta — para ilustrar visualmente el concepto de “embedding contextual” a un lector no técnico.</w:t>
      </w:r>
    </w:p>
    <w:p>
      <w:pPr>
        <w:spacing w:after="160"/>
        <w:jc w:val="both"/>
      </w:pPr>
      <w:r>
        <w:rPr>
          <w:rFonts w:ascii="Calibri" w:cs="Calibri" w:eastAsia="Calibri" w:hAnsi="Calibri"/>
          <w:b/>
          <w:bCs/>
          <w:sz w:val="22"/>
          <w:szCs w:val="22"/>
        </w:rPr>
        <w:t xml:space="preserve">Ejemplo hipotético C: </w:t>
      </w:r>
      <w:r>
        <w:rPr>
          <w:rFonts w:ascii="Calibri" w:cs="Calibri" w:eastAsia="Calibri" w:hAnsi="Calibri"/>
          <w:sz w:val="22"/>
          <w:szCs w:val="22"/>
        </w:rPr>
        <w:t xml:space="preserve">La secuencia rojo→rojo→rojo comparada visualmente con rojo (una sola cuerda), mostrando dos posibles resultados hipotéticos y contrastantes: (i) el modelo trata las tres repeticiones como muy similares entre sí y similares a un “rojo” aislado (lo cual sugeriría que la repetición en sí no añade señal distintiva); o (ii) el modelo las trata como distintas de un “rojo” aislado (lo cual sugeriría que la posición dentro de una racha de repetición sí es capturada). El paper no reporta cuál de estos dos escenarios ocurre realmente.</w:t>
      </w:r>
    </w:p>
    <w:p>
      <w:pPr>
        <w:spacing w:after="160"/>
        <w:jc w:val="both"/>
      </w:pPr>
      <w:r>
        <w:rPr>
          <w:rFonts w:ascii="Calibri" w:cs="Calibri" w:eastAsia="Calibri" w:hAnsi="Calibri"/>
          <w:b/>
          <w:bCs/>
          <w:sz w:val="22"/>
          <w:szCs w:val="22"/>
        </w:rPr>
        <w:t xml:space="preserve">Ejemplo hipotético D: </w:t>
      </w:r>
      <w:r>
        <w:rPr>
          <w:rFonts w:ascii="Calibri" w:cs="Calibri" w:eastAsia="Calibri" w:hAnsi="Calibri"/>
          <w:sz w:val="22"/>
          <w:szCs w:val="22"/>
        </w:rPr>
        <w:t xml:space="preserve">Una cuerda con nudos que registran el valor 43, coloreada de blanco, junto a dos cuerdas “sumando” de valores 12 y 25 con otro color, mostrando visualmente cómo el modelo del paper solo “ve” la secuencia de colores (blanco, color-sumando, color-sumando) y no los valores numéricos (43, 12, 25) ni la relación aritmética entre ellos — para ilustrar el punto ciego descrito en la sección 4 de este documento.</w:t>
      </w:r>
    </w:p>
    <w:p>
      <w:pPr>
        <w:spacing w:after="160"/>
        <w:jc w:val="both"/>
      </w:pPr>
      <w:r>
        <w:rPr>
          <w:rFonts w:ascii="Calibri" w:cs="Calibri" w:eastAsia="Calibri" w:hAnsi="Calibri"/>
          <w:b/>
          <w:bCs/>
          <w:sz w:val="22"/>
          <w:szCs w:val="22"/>
        </w:rPr>
        <w:t xml:space="preserve">Ejemplo hipotético E: </w:t>
      </w:r>
      <w:r>
        <w:rPr>
          <w:rFonts w:ascii="Calibri" w:cs="Calibri" w:eastAsia="Calibri" w:hAnsi="Calibri"/>
          <w:sz w:val="22"/>
          <w:szCs w:val="22"/>
        </w:rPr>
        <w:t xml:space="preserve">Diagrama de flujo simplificado: datos (secuencias de color) → features (embeddings de 3072 dimensiones) → clusters (30 grupos) → una columna “qué podemos concluir” (existe estructura distribucional no aleatoria; el patrón es reproducible; hay al menos un punto de validación material independiente) junto a una columna “qué NO podemos concluir” (que sepamos el significado cultural específico de cada cluster; que la estructura sea necesariamente de naturaleza lingüística y no aritmética/administrativa; que el patrón sea universal a todos los khipus y no solo a los ya digitalizados).</w:t>
      </w:r>
    </w:p>
    <w:p>
      <w:pPr>
        <w:spacing w:after="160"/>
        <w:jc w:val="both"/>
      </w:pPr>
      <w:r>
        <w:rPr>
          <w:rFonts w:ascii="Calibri" w:cs="Calibri" w:eastAsia="Calibri" w:hAnsi="Calibri"/>
          <w:sz w:val="22"/>
          <w:szCs w:val="22"/>
        </w:rPr>
        <w:t xml:space="preserve">Estos cinco ejemplos son propuestas de esta evaluación para apoyar una discusión pedagógica del paper; no deben citarse como si representaran hallazgos del propio Clindaniel (2024).</w:t>
      </w:r>
    </w:p>
    <w:p>
      <w:pPr>
        <w:pStyle w:val="Heading1"/>
        <w:spacing w:after="240" w:before="480"/>
      </w:pPr>
      <w:r>
        <w:t xml:space="preserve">20. Tabla final de fortalezas y debilidades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100"/>
      </w:tblGrid>
      <w:tr>
        <w:trPr>
          <w:tblHeader/>
        </w:trPr>
        <w:tc>
          <w:tcPr>
            <w:tcW w:type="dxa" w:w="1900"/>
            <w:shd w:fill="2F5496" w:val="clear"/>
            <w:tcMar>
              <w:top w:type="dxa" w:w="60"/>
              <w:left w:type="dxa" w:w="80"/>
              <w:bottom w:type="dxa" w:w="60"/>
              <w:right w:type="dxa" w:w="80"/>
            </w:tcMar>
          </w:tcPr>
          <w:p>
            <w:r>
              <w:rPr>
                <w:rFonts w:ascii="Calibri" w:cs="Calibri" w:eastAsia="Calibri" w:hAnsi="Calibri"/>
                <w:b/>
                <w:bCs/>
                <w:color w:val="FFFFFF"/>
                <w:sz w:val="17"/>
                <w:szCs w:val="17"/>
              </w:rPr>
              <w:t xml:space="preserve">Aspecto</w:t>
            </w:r>
          </w:p>
        </w:tc>
        <w:tc>
          <w:tcPr>
            <w:tcW w:type="dxa" w:w="2500"/>
            <w:shd w:fill="2F5496" w:val="clear"/>
            <w:tcMar>
              <w:top w:type="dxa" w:w="60"/>
              <w:left w:type="dxa" w:w="80"/>
              <w:bottom w:type="dxa" w:w="60"/>
              <w:right w:type="dxa" w:w="80"/>
            </w:tcMar>
          </w:tcPr>
          <w:p>
            <w:r>
              <w:rPr>
                <w:rFonts w:ascii="Calibri" w:cs="Calibri" w:eastAsia="Calibri" w:hAnsi="Calibri"/>
                <w:b/>
                <w:bCs/>
                <w:color w:val="FFFFFF"/>
                <w:sz w:val="17"/>
                <w:szCs w:val="17"/>
              </w:rPr>
              <w:t xml:space="preserve">Fortaleza</w:t>
            </w:r>
          </w:p>
        </w:tc>
        <w:tc>
          <w:tcPr>
            <w:tcW w:type="dxa" w:w="2500"/>
            <w:shd w:fill="2F5496" w:val="clear"/>
            <w:tcMar>
              <w:top w:type="dxa" w:w="60"/>
              <w:left w:type="dxa" w:w="80"/>
              <w:bottom w:type="dxa" w:w="60"/>
              <w:right w:type="dxa" w:w="80"/>
            </w:tcMar>
          </w:tcPr>
          <w:p>
            <w:r>
              <w:rPr>
                <w:rFonts w:ascii="Calibri" w:cs="Calibri" w:eastAsia="Calibri" w:hAnsi="Calibri"/>
                <w:b/>
                <w:bCs/>
                <w:color w:val="FFFFFF"/>
                <w:sz w:val="17"/>
                <w:szCs w:val="17"/>
              </w:rPr>
              <w:t xml:space="preserve">Debilidad</w:t>
            </w:r>
          </w:p>
        </w:tc>
        <w:tc>
          <w:tcPr>
            <w:tcW w:type="dxa" w:w="2100"/>
            <w:shd w:fill="2F5496" w:val="clear"/>
            <w:tcMar>
              <w:top w:type="dxa" w:w="60"/>
              <w:left w:type="dxa" w:w="80"/>
              <w:bottom w:type="dxa" w:w="60"/>
              <w:right w:type="dxa" w:w="80"/>
            </w:tcMar>
          </w:tcPr>
          <w:p>
            <w:r>
              <w:rPr>
                <w:rFonts w:ascii="Calibri" w:cs="Calibri" w:eastAsia="Calibri" w:hAnsi="Calibri"/>
                <w:b/>
                <w:bCs/>
                <w:color w:val="FFFFFF"/>
                <w:sz w:val="17"/>
                <w:szCs w:val="17"/>
              </w:rPr>
              <w:t xml:space="preserve">Impacto</w:t>
            </w:r>
          </w:p>
        </w:tc>
      </w:tr>
      <w:tr>
        <w:tc>
          <w:tcPr>
            <w:tcW w:type="dxa" w:w="19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Datos</w:t>
            </w:r>
          </w:p>
        </w:tc>
        <w:tc>
          <w:tcPr>
            <w:tcW w:type="dxa" w:w="25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Corpus más grande jamás analizado computacionalmente para color de khipu (629 khipus, 48,681 registros de color); base de datos abierta y versionada (OKR v2.0.0)</w:t>
            </w:r>
          </w:p>
        </w:tc>
        <w:tc>
          <w:tcPr>
            <w:tcW w:type="dxa" w:w="25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45% del universo conocido de khipus (1,386); mecanismo de selección de qué khipus están digitalizados no se discute; posibles sesgos geográficos/institucionales heredados y no controlados</w:t>
            </w:r>
          </w:p>
        </w:tc>
        <w:tc>
          <w:tcPr>
            <w:tcW w:type="dxa" w:w="21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Limita la generalización de “khipus” a “khipus ya digitalizados en el OKR”</w:t>
            </w:r>
          </w:p>
        </w:tc>
      </w:tr>
      <w:tr>
        <w:tc>
          <w:tcPr>
            <w:tcW w:type="dxa" w:w="19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Representación</w:t>
            </w:r>
          </w:p>
        </w:tc>
        <w:tc>
          <w:tcPr>
            <w:tcW w:type="dxa" w:w="25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Esquema de codificación de color (KCCS) ya validado y usado por la comunidad de investigación; control explícito contra artefactos de agregación de códigos (p.12-13)</w:t>
            </w:r>
          </w:p>
        </w:tc>
        <w:tc>
          <w:tcPr>
            <w:tcW w:type="dxa" w:w="25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Metáfora “khipu=texto/oración/palabra” presentada como “presunción” (p.7) sin justificación empírica directa en este paper; ignora estructura numérica, jerárquica y material</w:t>
            </w:r>
          </w:p>
        </w:tc>
        <w:tc>
          <w:tcPr>
            <w:tcW w:type="dxa" w:w="21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Es el punto de mayor incertidumbre epistémica de todo el estudio (ver secciones 2-4)</w:t>
            </w:r>
          </w:p>
        </w:tc>
      </w:tr>
      <w:tr>
        <w:tc>
          <w:tcPr>
            <w:tcW w:type="dxa" w:w="19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Features</w:t>
            </w:r>
          </w:p>
        </w:tc>
        <w:tc>
          <w:tcPr>
            <w:tcW w:type="dxa" w:w="25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Uso de embeddings contextuales de última generación (BERT), con validación técnica estándar (curva de pérdida sin sobreajuste, Figura 2)</w:t>
            </w:r>
          </w:p>
        </w:tc>
        <w:tc>
          <w:tcPr>
            <w:tcW w:type="dxa" w:w="25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Una sola variable de entrada (color); no hay variable de género administrativo, valor numérico, material ni jerarquía estructural</w:t>
            </w:r>
          </w:p>
        </w:tc>
        <w:tc>
          <w:tcPr>
            <w:tcW w:type="dxa" w:w="21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El modelo solo puede, por diseño, encontrar patrones condicionados exclusivamente al color</w:t>
            </w:r>
          </w:p>
        </w:tc>
      </w:tr>
      <w:tr>
        <w:tc>
          <w:tcPr>
            <w:tcW w:type="dxa" w:w="19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Algoritmo</w:t>
            </w:r>
          </w:p>
        </w:tc>
        <w:tc>
          <w:tcPr>
            <w:tcW w:type="dxa" w:w="25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Pipeline técnicamente estándar y bien documentado en la literatura de NLP (BERT + UMAP + HDBSCAN, con librerías y referencias citadas con precisión)</w:t>
            </w:r>
          </w:p>
        </w:tc>
        <w:tc>
          <w:tcPr>
            <w:tcW w:type="dxa" w:w="25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Sin control de permutación/aleatorización; sin análisis de sensibilidad de hiperparámetros de clustering reportado</w:t>
            </w:r>
          </w:p>
        </w:tc>
        <w:tc>
          <w:tcPr>
            <w:tcW w:type="dxa" w:w="21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No se puede descartar con certeza que parte de la estructura hallada sea un artefacto del pipeline</w:t>
            </w:r>
          </w:p>
        </w:tc>
      </w:tr>
      <w:tr>
        <w:tc>
          <w:tcPr>
            <w:tcW w:type="dxa" w:w="19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Clustering</w:t>
            </w:r>
          </w:p>
        </w:tc>
        <w:tc>
          <w:tcPr>
            <w:tcW w:type="dxa" w:w="25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Resultados internamente consistentes (colores frecuentes en clusters nítidos y separados; polisemia visible incluso en colores oscuros, contra la hipótesis de puro artefacto tafonómico)</w:t>
            </w:r>
          </w:p>
        </w:tc>
        <w:tc>
          <w:tcPr>
            <w:tcW w:type="dxa" w:w="25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El número de clusters depende de umbrales elegidos por el investigador, no reportado como robusto frente a alternativas</w:t>
            </w:r>
          </w:p>
        </w:tc>
        <w:tc>
          <w:tcPr>
            <w:tcW w:type="dxa" w:w="21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Cifras citadas en Abstract/Conclusión (30, 127, 20) podrían no ser tan “estables” como su presentación sugiere</w:t>
            </w:r>
          </w:p>
        </w:tc>
      </w:tr>
      <w:tr>
        <w:tc>
          <w:tcPr>
            <w:tcW w:type="dxa" w:w="19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Validación</w:t>
            </w:r>
          </w:p>
        </w:tc>
        <w:tc>
          <w:tcPr>
            <w:tcW w:type="dxa" w:w="25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Un punto de validación material genuinamente independiente y fuerte (correlación 75% con varas de Inkawasi, p.26)</w:t>
            </w:r>
          </w:p>
        </w:tc>
        <w:tc>
          <w:tcPr>
            <w:tcW w:type="dxa" w:w="25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La validación cualitativa principal (KH0503/KH0491) compara el modelo con el juicio previo del propio autor, no con una fuente independiente</w:t>
            </w:r>
          </w:p>
        </w:tc>
        <w:tc>
          <w:tcPr>
            <w:tcW w:type="dxa" w:w="21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El paper tiene un solo pilar de validación externa robusta; el resto de la evidencia de validación es interna o parcialmente circular</w:t>
            </w:r>
          </w:p>
        </w:tc>
      </w:tr>
      <w:tr>
        <w:tc>
          <w:tcPr>
            <w:tcW w:type="dxa" w:w="19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Interpretación</w:t>
            </w:r>
          </w:p>
        </w:tc>
        <w:tc>
          <w:tcPr>
            <w:tcW w:type="dxa" w:w="25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Al menos un caso ejemplar de calificación epistémica apropiada ("these claims are still speculative", p.25)</w:t>
            </w:r>
          </w:p>
        </w:tc>
        <w:tc>
          <w:tcPr>
            <w:tcW w:type="dxa" w:w="25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Uso reiterado de terminología (“semantic”, “meaning”, “agreement”) que implica un nivel de certeza (Nivel 4, significado) superior al que la evidencia estadística (Nivel 1-2) sostiene por sí sola</w:t>
            </w:r>
          </w:p>
        </w:tc>
        <w:tc>
          <w:tcPr>
            <w:tcW w:type="dxa" w:w="21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Riesgo de que lectores no especializados sobreestimen cuánto se sabe hoy sobre el significado real de los colores del khipu</w:t>
            </w:r>
          </w:p>
        </w:tc>
      </w:tr>
      <w:tr>
        <w:tc>
          <w:tcPr>
            <w:tcW w:type="dxa" w:w="19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Generalización</w:t>
            </w:r>
          </w:p>
        </w:tc>
        <w:tc>
          <w:tcPr>
            <w:tcW w:type="dxa" w:w="25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El paper reconoce explícitamente la cobertura parcial del OKR frente al universo conocido de khipus (p.6)</w:t>
            </w:r>
          </w:p>
        </w:tc>
        <w:tc>
          <w:tcPr>
            <w:tcW w:type="dxa" w:w="25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El título y la Conclusión no llevan la misma calificación de alcance que sí aparece en el cuerpo del texto</w:t>
            </w:r>
          </w:p>
        </w:tc>
        <w:tc>
          <w:tcPr>
            <w:tcW w:type="dxa" w:w="21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Discrepancia entre la precisión del cuerpo del paper y la generalidad retórica de sus titulares</w:t>
            </w:r>
          </w:p>
        </w:tc>
      </w:tr>
      <w:tr>
        <w:tc>
          <w:tcPr>
            <w:tcW w:type="dxa" w:w="19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Relación con conocimiento de khipus</w:t>
            </w:r>
          </w:p>
        </w:tc>
        <w:tc>
          <w:tcPr>
            <w:tcW w:type="dxa" w:w="25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Uso extenso y bien referenciado de literatura previa (cronistas, Hyland, Urton, Medrano y Khosla, la propia disertación de 2019) para contextualizar los hallazgos</w:t>
            </w:r>
          </w:p>
        </w:tc>
        <w:tc>
          <w:tcPr>
            <w:tcW w:type="dxa" w:w="25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No incorpora como variables de control varios hallazgos ya consolidados de esa misma literatura (banding/seriación, género administrativo, excepciones geográficas conocidas como Colesuyu/Armatambo)</w:t>
            </w:r>
          </w:p>
        </w:tc>
        <w:tc>
          <w:tcPr>
            <w:tcW w:type="dxa" w:w="21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El paper dialoga con la literatura en la narrativa, pero no siempre la usa como control metodológico dentro del propio diseño experimental</w:t>
            </w:r>
          </w:p>
        </w:tc>
      </w:tr>
    </w:tbl>
    <w:p>
      <w:pPr>
        <w:pStyle w:val="Heading1"/>
        <w:pageBreakBefore/>
        <w:spacing w:after="240" w:before="480"/>
      </w:pPr>
      <w:r>
        <w:t xml:space="preserve">21. Ranking de las debilidades identificadas</w:t>
      </w:r>
    </w:p>
    <w:p>
      <w:pPr>
        <w:pStyle w:val="Heading2"/>
        <w:spacing w:after="160" w:before="340"/>
      </w:pPr>
      <w:r>
        <w:t xml:space="preserve">🔴 Alta — puede afectar directamente una conclusión central</w:t>
      </w:r>
    </w:p>
    <w:p>
      <w:pPr>
        <w:pStyle w:val="ListParagraph"/>
        <w:numPr>
          <w:ilvl w:val="0"/>
          <w:numId w:val="1"/>
        </w:numPr>
        <w:spacing w:after="90"/>
      </w:pPr>
      <w:r>
        <w:rPr>
          <w:rFonts w:ascii="Calibri" w:cs="Calibri" w:eastAsia="Calibri" w:hAnsi="Calibri"/>
          <w:b/>
          <w:bCs/>
          <w:sz w:val="22"/>
          <w:szCs w:val="22"/>
        </w:rPr>
        <w:t xml:space="preserve">Ausencia de control de permutación/línea base negativa (secciones 3.2, 13.5, 18.1). </w:t>
      </w:r>
      <w:r>
        <w:rPr>
          <w:rFonts w:ascii="Calibri" w:cs="Calibri" w:eastAsia="Calibri" w:hAnsi="Calibri"/>
          <w:sz w:val="22"/>
          <w:szCs w:val="22"/>
        </w:rPr>
        <w:t xml:space="preserve">Categoría A. Sin este control, la afirmación central del Abstract (“a coherent system of color signs”) no puede distinguirse con certeza de un artefacto estadístico del pipeline aplicado a cualquier variable categórica con frecuencias desiguales.</w:t>
      </w:r>
    </w:p>
    <w:p>
      <w:pPr>
        <w:pStyle w:val="ListParagraph"/>
        <w:numPr>
          <w:ilvl w:val="0"/>
          <w:numId w:val="1"/>
        </w:numPr>
        <w:spacing w:after="90"/>
      </w:pPr>
      <w:r>
        <w:rPr>
          <w:rFonts w:ascii="Calibri" w:cs="Calibri" w:eastAsia="Calibri" w:hAnsi="Calibri"/>
          <w:b/>
          <w:bCs/>
          <w:sz w:val="22"/>
          <w:szCs w:val="22"/>
        </w:rPr>
        <w:t xml:space="preserve">Punto ciego frente a la estructura numérica/aritmética (sección 4). </w:t>
      </w:r>
      <w:r>
        <w:rPr>
          <w:rFonts w:ascii="Calibri" w:cs="Calibri" w:eastAsia="Calibri" w:hAnsi="Calibri"/>
          <w:sz w:val="22"/>
          <w:szCs w:val="22"/>
        </w:rPr>
        <w:t xml:space="preserve">Categoría A+B. El caso empírico más citado en el propio paper (KH0503/KH0491) es, según la literatura previa (incluyendo el trabajo del mismo autor), fundamentalmente aritmético — y el modelo no incorpora esa variable, dejando abierta la posibilidad de que gran parte de la estructura detectada sea un eco indirecto de estructura aritmética, no una convención cromática independiente.</w:t>
      </w:r>
    </w:p>
    <w:p>
      <w:pPr>
        <w:pStyle w:val="ListParagraph"/>
        <w:numPr>
          <w:ilvl w:val="0"/>
          <w:numId w:val="1"/>
        </w:numPr>
        <w:spacing w:after="90"/>
      </w:pPr>
      <w:r>
        <w:rPr>
          <w:rFonts w:ascii="Calibri" w:cs="Calibri" w:eastAsia="Calibri" w:hAnsi="Calibri"/>
          <w:b/>
          <w:bCs/>
          <w:sz w:val="22"/>
          <w:szCs w:val="22"/>
        </w:rPr>
        <w:t xml:space="preserve">Circularidad parcial de la principal validación cualitativa (secciones 8.4, 10, 13.3). </w:t>
      </w:r>
      <w:r>
        <w:rPr>
          <w:rFonts w:ascii="Calibri" w:cs="Calibri" w:eastAsia="Calibri" w:hAnsi="Calibri"/>
          <w:sz w:val="22"/>
          <w:szCs w:val="22"/>
        </w:rPr>
        <w:t xml:space="preserve">Categoría A. El uso del verbo “correctly” para describir la coincidencia entre el modelo y el juicio previo del mismo autor sobre los mismos dos khipus da una apariencia de validación externa objetiva que, en sentido estricto, no existe en el paper.</w:t>
      </w:r>
    </w:p>
    <w:p>
      <w:pPr>
        <w:pStyle w:val="ListParagraph"/>
        <w:numPr>
          <w:ilvl w:val="0"/>
          <w:numId w:val="1"/>
        </w:numPr>
        <w:spacing w:after="90"/>
      </w:pPr>
      <w:r>
        <w:rPr>
          <w:rFonts w:ascii="Calibri" w:cs="Calibri" w:eastAsia="Calibri" w:hAnsi="Calibri"/>
          <w:b/>
          <w:bCs/>
          <w:sz w:val="22"/>
          <w:szCs w:val="22"/>
        </w:rPr>
        <w:t xml:space="preserve">Ausencia de control por género administrativo del khipu (secciones 12.1, 13.1, 18.3). </w:t>
      </w:r>
      <w:r>
        <w:rPr>
          <w:rFonts w:ascii="Calibri" w:cs="Calibri" w:eastAsia="Calibri" w:hAnsi="Calibri"/>
          <w:sz w:val="22"/>
          <w:szCs w:val="22"/>
        </w:rPr>
        <w:t xml:space="preserve">Categoría A+B. Afecta directamente la interpretación central de polisemia: parte de la “polisemia” detectada podría ser, en realidad, heterogeneidad de género mal mezclada en un análisis agregado.</w:t>
      </w:r>
    </w:p>
    <w:p>
      <w:pPr>
        <w:pStyle w:val="Heading2"/>
        <w:spacing w:after="160" w:before="340"/>
      </w:pPr>
      <w:r>
        <w:t xml:space="preserve">🟠 Media — limita la interpretación o la generalización</w:t>
      </w:r>
    </w:p>
    <w:p>
      <w:pPr>
        <w:pStyle w:val="ListParagraph"/>
        <w:numPr>
          <w:ilvl w:val="0"/>
          <w:numId w:val="1"/>
        </w:numPr>
        <w:spacing w:after="90"/>
      </w:pPr>
      <w:r>
        <w:rPr>
          <w:rFonts w:ascii="Calibri" w:cs="Calibri" w:eastAsia="Calibri" w:hAnsi="Calibri"/>
          <w:b/>
          <w:bCs/>
          <w:sz w:val="22"/>
          <w:szCs w:val="22"/>
        </w:rPr>
        <w:t xml:space="preserve">Salto retórico entre “dominio semántico distribucional” y “sistema de escritura” (secciones 10, 11, 14). </w:t>
      </w:r>
      <w:r>
        <w:rPr>
          <w:rFonts w:ascii="Calibri" w:cs="Calibri" w:eastAsia="Calibri" w:hAnsi="Calibri"/>
          <w:sz w:val="22"/>
          <w:szCs w:val="22"/>
        </w:rPr>
        <w:t xml:space="preserve">Categoría A. La Conclusión reactiva una tesis más amplia (khipu=escritura) argumentada en trabajo previo del mismo autor, sin volver a defenderla con la evidencia específica de este paper.</w:t>
      </w:r>
    </w:p>
    <w:p>
      <w:pPr>
        <w:pStyle w:val="ListParagraph"/>
        <w:numPr>
          <w:ilvl w:val="0"/>
          <w:numId w:val="1"/>
        </w:numPr>
        <w:spacing w:after="90"/>
      </w:pPr>
      <w:r>
        <w:rPr>
          <w:rFonts w:ascii="Calibri" w:cs="Calibri" w:eastAsia="Calibri" w:hAnsi="Calibri"/>
          <w:b/>
          <w:bCs/>
          <w:sz w:val="22"/>
          <w:szCs w:val="22"/>
        </w:rPr>
        <w:t xml:space="preserve">Falta de análisis de sensibilidad de hiperparámetros de clustering (secciones 13.4, 18.2). </w:t>
      </w:r>
      <w:r>
        <w:rPr>
          <w:rFonts w:ascii="Calibri" w:cs="Calibri" w:eastAsia="Calibri" w:hAnsi="Calibri"/>
          <w:sz w:val="22"/>
          <w:szCs w:val="22"/>
        </w:rPr>
        <w:t xml:space="preserve">Categoría A. Los números 30/127/20 se citan como si fueran cifras estables, sin verificación explícita de robustez.</w:t>
      </w:r>
    </w:p>
    <w:p>
      <w:pPr>
        <w:pStyle w:val="ListParagraph"/>
        <w:numPr>
          <w:ilvl w:val="0"/>
          <w:numId w:val="1"/>
        </w:numPr>
        <w:spacing w:after="90"/>
      </w:pPr>
      <w:r>
        <w:rPr>
          <w:rFonts w:ascii="Calibri" w:cs="Calibri" w:eastAsia="Calibri" w:hAnsi="Calibri"/>
          <w:b/>
          <w:bCs/>
          <w:sz w:val="22"/>
          <w:szCs w:val="22"/>
        </w:rPr>
        <w:t xml:space="preserve">Sesgos de representatividad del OKR no discutidos (más allá de la cobertura numérica) (sección 15). </w:t>
      </w:r>
      <w:r>
        <w:rPr>
          <w:rFonts w:ascii="Calibri" w:cs="Calibri" w:eastAsia="Calibri" w:hAnsi="Calibri"/>
          <w:sz w:val="22"/>
          <w:szCs w:val="22"/>
        </w:rPr>
        <w:t xml:space="preserve">Categoría A+B. La literatura ya revisada documenta sesgos geográficos e institucionales conocidos que el paper no discute en relación con sus propios resultados de color.</w:t>
      </w:r>
    </w:p>
    <w:p>
      <w:pPr>
        <w:pStyle w:val="ListParagraph"/>
        <w:numPr>
          <w:ilvl w:val="0"/>
          <w:numId w:val="1"/>
        </w:numPr>
        <w:spacing w:after="90"/>
      </w:pPr>
      <w:r>
        <w:rPr>
          <w:rFonts w:ascii="Calibri" w:cs="Calibri" w:eastAsia="Calibri" w:hAnsi="Calibri"/>
          <w:b/>
          <w:bCs/>
          <w:sz w:val="22"/>
          <w:szCs w:val="22"/>
        </w:rPr>
        <w:t xml:space="preserve">No incorporación de la distinción banding/seriación (repetición) como variable explícita de análisis (sección 5). </w:t>
      </w:r>
      <w:r>
        <w:rPr>
          <w:rFonts w:ascii="Calibri" w:cs="Calibri" w:eastAsia="Calibri" w:hAnsi="Calibri"/>
          <w:sz w:val="22"/>
          <w:szCs w:val="22"/>
        </w:rPr>
        <w:t xml:space="preserve">Categoría A+B. Es una de las variables mejor validadas de toda la literatura de khipus (incluyendo trabajo previo del propio autor), y el paper no la discute ni la usa como control.</w:t>
      </w:r>
    </w:p>
    <w:p>
      <w:pPr>
        <w:pStyle w:val="ListParagraph"/>
        <w:numPr>
          <w:ilvl w:val="0"/>
          <w:numId w:val="1"/>
        </w:numPr>
        <w:spacing w:after="90"/>
      </w:pPr>
      <w:r>
        <w:rPr>
          <w:rFonts w:ascii="Calibri" w:cs="Calibri" w:eastAsia="Calibri" w:hAnsi="Calibri"/>
          <w:b/>
          <w:bCs/>
          <w:sz w:val="22"/>
          <w:szCs w:val="22"/>
        </w:rPr>
        <w:t xml:space="preserve">Ausencia de discusión sobre confiabilidad de dirección de lectura en khipus fragmentarios (sección 13.2). </w:t>
      </w:r>
      <w:r>
        <w:rPr>
          <w:rFonts w:ascii="Calibri" w:cs="Calibri" w:eastAsia="Calibri" w:hAnsi="Calibri"/>
          <w:sz w:val="22"/>
          <w:szCs w:val="22"/>
        </w:rPr>
        <w:t xml:space="preserve">Categoría B. Otra fuente del mismo corpus documenta que esta es una decisión de catalogación con incertidumbre reconocida, no verificada en este paper.</w:t>
      </w:r>
    </w:p>
    <w:p>
      <w:pPr>
        <w:pStyle w:val="Heading2"/>
        <w:spacing w:after="160" w:before="340"/>
      </w:pPr>
      <w:r>
        <w:t xml:space="preserve">🟢 Baja — afecta principalmente claridad o presentación</w:t>
      </w:r>
    </w:p>
    <w:p>
      <w:pPr>
        <w:pStyle w:val="ListParagraph"/>
        <w:numPr>
          <w:ilvl w:val="0"/>
          <w:numId w:val="1"/>
        </w:numPr>
        <w:spacing w:after="90"/>
      </w:pPr>
      <w:r>
        <w:rPr>
          <w:rFonts w:ascii="Calibri" w:cs="Calibri" w:eastAsia="Calibri" w:hAnsi="Calibri"/>
          <w:b/>
          <w:bCs/>
          <w:sz w:val="22"/>
          <w:szCs w:val="22"/>
        </w:rPr>
        <w:t xml:space="preserve">Ausencia de figuras que conecten visualmente todas las etapas del pipeline en una sola vista (sección 19). </w:t>
      </w:r>
      <w:r>
        <w:rPr>
          <w:rFonts w:ascii="Calibri" w:cs="Calibri" w:eastAsia="Calibri" w:hAnsi="Calibri"/>
          <w:sz w:val="22"/>
          <w:szCs w:val="22"/>
        </w:rPr>
        <w:t xml:space="preserve">Categoría A. Afecta la claridad expositiva, no la validez de los resultados en sí.</w:t>
      </w:r>
    </w:p>
    <w:p>
      <w:pPr>
        <w:pStyle w:val="ListParagraph"/>
        <w:numPr>
          <w:ilvl w:val="0"/>
          <w:numId w:val="1"/>
        </w:numPr>
        <w:spacing w:after="90"/>
      </w:pPr>
      <w:r>
        <w:rPr>
          <w:rFonts w:ascii="Calibri" w:cs="Calibri" w:eastAsia="Calibri" w:hAnsi="Calibri"/>
          <w:b/>
          <w:bCs/>
          <w:sz w:val="22"/>
          <w:szCs w:val="22"/>
        </w:rPr>
        <w:t xml:space="preserve">Falta de un ejemplo textual explícito de cómo se codifica la repetición consecutiva de color (sección 5). </w:t>
      </w:r>
      <w:r>
        <w:rPr>
          <w:rFonts w:ascii="Calibri" w:cs="Calibri" w:eastAsia="Calibri" w:hAnsi="Calibri"/>
          <w:sz w:val="22"/>
          <w:szCs w:val="22"/>
        </w:rPr>
        <w:t xml:space="preserve">Categoría A. Es una omisión expositiva verificable, aunque no necesariamente indica un problema en el funcionamiento real del modelo.</w:t>
      </w:r>
    </w:p>
    <w:p>
      <w:pPr>
        <w:pStyle w:val="ListParagraph"/>
        <w:numPr>
          <w:ilvl w:val="0"/>
          <w:numId w:val="1"/>
        </w:numPr>
        <w:spacing w:after="90"/>
      </w:pPr>
      <w:r>
        <w:rPr>
          <w:rFonts w:ascii="Calibri" w:cs="Calibri" w:eastAsia="Calibri" w:hAnsi="Calibri"/>
          <w:b/>
          <w:bCs/>
          <w:sz w:val="22"/>
          <w:szCs w:val="22"/>
        </w:rPr>
        <w:t xml:space="preserve">Terminología de "semantic" aplicada de forma constante a resultados distribucionales (sección 11). </w:t>
      </w:r>
      <w:r>
        <w:rPr>
          <w:rFonts w:ascii="Calibri" w:cs="Calibri" w:eastAsia="Calibri" w:hAnsi="Calibri"/>
          <w:sz w:val="22"/>
          <w:szCs w:val="22"/>
        </w:rPr>
        <w:t xml:space="preserve">Categoría A, pero de bajo impacto práctico porque es una convención estándar y explicada del campo de NLP del que el método proviene, no una elección arbitraria del autor.</w:t>
      </w:r>
    </w:p>
    <w:p>
      <w:pPr>
        <w:pStyle w:val="Heading1"/>
        <w:pageBreakBefore/>
        <w:spacing w:after="240" w:before="480"/>
      </w:pPr>
      <w:r>
        <w:t xml:space="preserve">22. Evaluación del valor real del paper</w:t>
      </w:r>
    </w:p>
    <w:p>
      <w:pPr>
        <w:spacing w:after="160"/>
        <w:jc w:val="both"/>
      </w:pPr>
      <w:r>
        <w:rPr>
          <w:rFonts w:ascii="Calibri" w:cs="Calibri" w:eastAsia="Calibri" w:hAnsi="Calibri"/>
          <w:sz w:val="22"/>
          <w:szCs w:val="22"/>
        </w:rPr>
        <w:t xml:space="preserve">Se evalúa cada dimensión de forma independiente, evitando un veredicto binario, siguiendo lo solicitado.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F5496" w:val="clear"/>
            <w:tcMar>
              <w:top w:type="dxa" w:w="60"/>
              <w:left w:type="dxa" w:w="80"/>
              <w:bottom w:type="dxa" w:w="60"/>
              <w:right w:type="dxa" w:w="80"/>
            </w:tcMar>
          </w:tcPr>
          <w:p>
            <w:r>
              <w:rPr>
                <w:rFonts w:ascii="Calibri" w:cs="Calibri" w:eastAsia="Calibri" w:hAnsi="Calibri"/>
                <w:b/>
                <w:bCs/>
                <w:color w:val="FFFFFF"/>
                <w:sz w:val="18"/>
                <w:szCs w:val="18"/>
              </w:rPr>
              <w:t xml:space="preserve">Dimensión</w:t>
            </w:r>
          </w:p>
        </w:tc>
        <w:tc>
          <w:tcPr>
            <w:tcW w:type="dxa" w:w="6000"/>
            <w:shd w:fill="2F5496" w:val="clear"/>
            <w:tcMar>
              <w:top w:type="dxa" w:w="60"/>
              <w:left w:type="dxa" w:w="80"/>
              <w:bottom w:type="dxa" w:w="60"/>
              <w:right w:type="dxa" w:w="80"/>
            </w:tcMar>
          </w:tcPr>
          <w:p>
            <w:r>
              <w:rPr>
                <w:rFonts w:ascii="Calibri" w:cs="Calibri" w:eastAsia="Calibri" w:hAnsi="Calibri"/>
                <w:b/>
                <w:bCs/>
                <w:color w:val="FFFFFF"/>
                <w:sz w:val="18"/>
                <w:szCs w:val="18"/>
              </w:rPr>
              <w:t xml:space="preserve">Evaluación</w:t>
            </w:r>
          </w:p>
        </w:tc>
      </w:tr>
      <w:tr>
        <w:tc>
          <w:tcPr>
            <w:tcW w:type="dxa" w:w="3000"/>
            <w:shd w:fill="F2F2F2" w:val="clear"/>
            <w:tcMar>
              <w:top w:type="dxa" w:w="60"/>
              <w:left w:type="dxa" w:w="80"/>
              <w:bottom w:type="dxa" w:w="60"/>
              <w:right w:type="dxa" w:w="80"/>
            </w:tcMar>
          </w:tcPr>
          <w:p>
            <w:r>
              <w:rPr>
                <w:rFonts w:ascii="Calibri" w:cs="Calibri" w:eastAsia="Calibri" w:hAnsi="Calibri"/>
                <w:b/>
                <w:bCs/>
                <w:color w:val="000000"/>
                <w:sz w:val="16"/>
                <w:szCs w:val="16"/>
              </w:rPr>
              <w:t xml:space="preserve">Innovación computacional</w:t>
            </w:r>
          </w:p>
        </w:tc>
        <w:tc>
          <w:tcPr>
            <w:tcW w:type="dxa" w:w="60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Alta. Primera aplicación documentada de desambiguación de sentido de palabra (Word Sense Disambiguation) con un modelo transformer entrenado desde cero, a la totalidad de los datos de color de un corpus arqueológico de khipus. Metodológicamente sólida dentro de su propio campo (NLP aplicado a datos no lingüísticos).</w:t>
            </w:r>
          </w:p>
        </w:tc>
      </w:tr>
      <w:tr>
        <w:tc>
          <w:tcPr>
            <w:tcW w:type="dxa" w:w="3000"/>
            <w:shd w:fill="FFFFFF" w:val="clear"/>
            <w:tcMar>
              <w:top w:type="dxa" w:w="60"/>
              <w:left w:type="dxa" w:w="80"/>
              <w:bottom w:type="dxa" w:w="60"/>
              <w:right w:type="dxa" w:w="80"/>
            </w:tcMar>
          </w:tcPr>
          <w:p>
            <w:r>
              <w:rPr>
                <w:rFonts w:ascii="Calibri" w:cs="Calibri" w:eastAsia="Calibri" w:hAnsi="Calibri"/>
                <w:b/>
                <w:bCs/>
                <w:color w:val="000000"/>
                <w:sz w:val="16"/>
                <w:szCs w:val="16"/>
              </w:rPr>
              <w:t xml:space="preserve">Calidad del dataset</w:t>
            </w:r>
          </w:p>
        </w:tc>
        <w:tc>
          <w:tcPr>
            <w:tcW w:type="dxa" w:w="6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Buena para su propósito declarado (el mayor corpus digital de color de khipu disponible), con transparencia sobre su tamaño y limitaciones de cobertura; sin discusión de mecanismo de selección o sesgos de representatividad (sección 15).</w:t>
            </w:r>
          </w:p>
        </w:tc>
      </w:tr>
      <w:tr>
        <w:tc>
          <w:tcPr>
            <w:tcW w:type="dxa" w:w="3000"/>
            <w:shd w:fill="F2F2F2" w:val="clear"/>
            <w:tcMar>
              <w:top w:type="dxa" w:w="60"/>
              <w:left w:type="dxa" w:w="80"/>
              <w:bottom w:type="dxa" w:w="60"/>
              <w:right w:type="dxa" w:w="80"/>
            </w:tcMar>
          </w:tcPr>
          <w:p>
            <w:r>
              <w:rPr>
                <w:rFonts w:ascii="Calibri" w:cs="Calibri" w:eastAsia="Calibri" w:hAnsi="Calibri"/>
                <w:b/>
                <w:bCs/>
                <w:color w:val="000000"/>
                <w:sz w:val="16"/>
                <w:szCs w:val="16"/>
              </w:rPr>
              <w:t xml:space="preserve">Adecuación de la representación</w:t>
            </w:r>
          </w:p>
        </w:tc>
        <w:tc>
          <w:tcPr>
            <w:tcW w:type="dxa" w:w="60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Cuestionable sin ser descartable. La metáfora texto/oración/palabra es una simplificación productiva pero no demostrada como la representación correcta de la estructura real del khipu (secciones 2-4); el propio autor la presenta como “presunción”.</w:t>
            </w:r>
          </w:p>
        </w:tc>
      </w:tr>
      <w:tr>
        <w:tc>
          <w:tcPr>
            <w:tcW w:type="dxa" w:w="3000"/>
            <w:shd w:fill="FFFFFF" w:val="clear"/>
            <w:tcMar>
              <w:top w:type="dxa" w:w="60"/>
              <w:left w:type="dxa" w:w="80"/>
              <w:bottom w:type="dxa" w:w="60"/>
              <w:right w:type="dxa" w:w="80"/>
            </w:tcMar>
          </w:tcPr>
          <w:p>
            <w:r>
              <w:rPr>
                <w:rFonts w:ascii="Calibri" w:cs="Calibri" w:eastAsia="Calibri" w:hAnsi="Calibri"/>
                <w:b/>
                <w:bCs/>
                <w:color w:val="000000"/>
                <w:sz w:val="16"/>
                <w:szCs w:val="16"/>
              </w:rPr>
              <w:t xml:space="preserve">Calidad del análisis técnico</w:t>
            </w:r>
          </w:p>
        </w:tc>
        <w:tc>
          <w:tcPr>
            <w:tcW w:type="dxa" w:w="6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Alta dentro de su propio marco. Los métodos estadísticos y de aprendizaje profundo están bien ejecutados y documentados según estándares actuales de la literatura de NLP citada; faltan controles específicos (permutación, sensibilidad de hiperparámetros) que elevarían aún más la robustez.</w:t>
            </w:r>
          </w:p>
        </w:tc>
      </w:tr>
      <w:tr>
        <w:tc>
          <w:tcPr>
            <w:tcW w:type="dxa" w:w="3000"/>
            <w:shd w:fill="F2F2F2" w:val="clear"/>
            <w:tcMar>
              <w:top w:type="dxa" w:w="60"/>
              <w:left w:type="dxa" w:w="80"/>
              <w:bottom w:type="dxa" w:w="60"/>
              <w:right w:type="dxa" w:w="80"/>
            </w:tcMar>
          </w:tcPr>
          <w:p>
            <w:r>
              <w:rPr>
                <w:rFonts w:ascii="Calibri" w:cs="Calibri" w:eastAsia="Calibri" w:hAnsi="Calibri"/>
                <w:b/>
                <w:bCs/>
                <w:color w:val="000000"/>
                <w:sz w:val="16"/>
                <w:szCs w:val="16"/>
              </w:rPr>
              <w:t xml:space="preserve">Validación</w:t>
            </w:r>
          </w:p>
        </w:tc>
        <w:tc>
          <w:tcPr>
            <w:tcW w:type="dxa" w:w="60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Mixta. Un punto de validación material genuinamente fuerte e independiente (varas de Inkawasi, 75%); el resto de la validación es interna al propio corpus o parcialmente circular (caso KH0503/KH0491).</w:t>
            </w:r>
          </w:p>
        </w:tc>
      </w:tr>
      <w:tr>
        <w:tc>
          <w:tcPr>
            <w:tcW w:type="dxa" w:w="3000"/>
            <w:shd w:fill="FFFFFF" w:val="clear"/>
            <w:tcMar>
              <w:top w:type="dxa" w:w="60"/>
              <w:left w:type="dxa" w:w="80"/>
              <w:bottom w:type="dxa" w:w="60"/>
              <w:right w:type="dxa" w:w="80"/>
            </w:tcMar>
          </w:tcPr>
          <w:p>
            <w:r>
              <w:rPr>
                <w:rFonts w:ascii="Calibri" w:cs="Calibri" w:eastAsia="Calibri" w:hAnsi="Calibri"/>
                <w:b/>
                <w:bCs/>
                <w:color w:val="000000"/>
                <w:sz w:val="16"/>
                <w:szCs w:val="16"/>
              </w:rPr>
              <w:t xml:space="preserve">Interpretación de los khipus</w:t>
            </w:r>
          </w:p>
        </w:tc>
        <w:tc>
          <w:tcPr>
            <w:tcW w:type="dxa" w:w="6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Razonablemente cuidadosa en varios pasajes (calificaciones explícitas de especulación), pero con saltos retóricos notables en el Abstract y la Conclusión que exceden lo que la evidencia de este paper específico sostiene por sí sola.</w:t>
            </w:r>
          </w:p>
        </w:tc>
      </w:tr>
      <w:tr>
        <w:tc>
          <w:tcPr>
            <w:tcW w:type="dxa" w:w="3000"/>
            <w:shd w:fill="F2F2F2" w:val="clear"/>
            <w:tcMar>
              <w:top w:type="dxa" w:w="60"/>
              <w:left w:type="dxa" w:w="80"/>
              <w:bottom w:type="dxa" w:w="60"/>
              <w:right w:type="dxa" w:w="80"/>
            </w:tcMar>
          </w:tcPr>
          <w:p>
            <w:r>
              <w:rPr>
                <w:rFonts w:ascii="Calibri" w:cs="Calibri" w:eastAsia="Calibri" w:hAnsi="Calibri"/>
                <w:b/>
                <w:bCs/>
                <w:color w:val="000000"/>
                <w:sz w:val="16"/>
                <w:szCs w:val="16"/>
              </w:rPr>
              <w:t xml:space="preserve">Generalización</w:t>
            </w:r>
          </w:p>
        </w:tc>
        <w:tc>
          <w:tcPr>
            <w:tcW w:type="dxa" w:w="60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Limitada y parcialmente reconocida por el propio autor (629 de 1,386 khipus conocidos); el lenguaje de los titulares del paper no siempre refleja esa limitación con la misma consistencia que el cuerpo del texto.</w:t>
            </w:r>
          </w:p>
        </w:tc>
      </w:tr>
      <w:tr>
        <w:tc>
          <w:tcPr>
            <w:tcW w:type="dxa" w:w="3000"/>
            <w:shd w:fill="FFFFFF" w:val="clear"/>
            <w:tcMar>
              <w:top w:type="dxa" w:w="60"/>
              <w:left w:type="dxa" w:w="80"/>
              <w:bottom w:type="dxa" w:w="60"/>
              <w:right w:type="dxa" w:w="80"/>
            </w:tcMar>
          </w:tcPr>
          <w:p>
            <w:r>
              <w:rPr>
                <w:rFonts w:ascii="Calibri" w:cs="Calibri" w:eastAsia="Calibri" w:hAnsi="Calibri"/>
                <w:b/>
                <w:bCs/>
                <w:color w:val="000000"/>
                <w:sz w:val="16"/>
                <w:szCs w:val="16"/>
              </w:rPr>
              <w:t xml:space="preserve">Valor como herramienta exploratoria</w:t>
            </w:r>
          </w:p>
        </w:tc>
        <w:tc>
          <w:tcPr>
            <w:tcW w:type="dxa" w:w="6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Alto. Como método para generar hipótesis nuevas, verificables y falsables sobre patrones de color a gran escala (algo imposible de hacer manualmente sobre 629 khipus), el paper cumple un rol claramente valioso, incluso si sus conclusiones semánticas fuertes permanecen provisionales.</w:t>
            </w:r>
          </w:p>
        </w:tc>
      </w:tr>
      <w:tr>
        <w:tc>
          <w:tcPr>
            <w:tcW w:type="dxa" w:w="3000"/>
            <w:shd w:fill="F2F2F2" w:val="clear"/>
            <w:tcMar>
              <w:top w:type="dxa" w:w="60"/>
              <w:left w:type="dxa" w:w="80"/>
              <w:bottom w:type="dxa" w:w="60"/>
              <w:right w:type="dxa" w:w="80"/>
            </w:tcMar>
          </w:tcPr>
          <w:p>
            <w:r>
              <w:rPr>
                <w:rFonts w:ascii="Calibri" w:cs="Calibri" w:eastAsia="Calibri" w:hAnsi="Calibri"/>
                <w:b/>
                <w:bCs/>
                <w:color w:val="000000"/>
                <w:sz w:val="16"/>
                <w:szCs w:val="16"/>
              </w:rPr>
              <w:t xml:space="preserve">Capacidad para demostrar patrones</w:t>
            </w:r>
          </w:p>
        </w:tc>
        <w:tc>
          <w:tcPr>
            <w:tcW w:type="dxa" w:w="60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Alta. Este es el logro mejor sustentado del paper: existencia de estructura distribucional no aleatoria, reproducible y parcialmente corroborada por evidencia material independiente.</w:t>
            </w:r>
          </w:p>
        </w:tc>
      </w:tr>
      <w:tr>
        <w:tc>
          <w:tcPr>
            <w:tcW w:type="dxa" w:w="3000"/>
            <w:shd w:fill="FFFFFF" w:val="clear"/>
            <w:tcMar>
              <w:top w:type="dxa" w:w="60"/>
              <w:left w:type="dxa" w:w="80"/>
              <w:bottom w:type="dxa" w:w="60"/>
              <w:right w:type="dxa" w:w="80"/>
            </w:tcMar>
          </w:tcPr>
          <w:p>
            <w:r>
              <w:rPr>
                <w:rFonts w:ascii="Calibri" w:cs="Calibri" w:eastAsia="Calibri" w:hAnsi="Calibri"/>
                <w:b/>
                <w:bCs/>
                <w:color w:val="000000"/>
                <w:sz w:val="16"/>
                <w:szCs w:val="16"/>
              </w:rPr>
              <w:t xml:space="preserve">Capacidad para demostrar significado histórico/lingüístico específico</w:t>
            </w:r>
          </w:p>
        </w:tc>
        <w:tc>
          <w:tcPr>
            <w:tcW w:type="dxa" w:w="6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Baja a moderada. Para la inmensa mayoría de los 30 clusters, 127 frases y 20 tópicos identificados, el paper no establece —ni pretende establecer de forma concluyente, en sus pasajes más cuidadosos— qué significaban específicamente para un khipukamayuq inca.</w:t>
            </w:r>
          </w:p>
        </w:tc>
      </w:tr>
    </w:tbl>
    <w:p>
      <w:pPr>
        <w:pStyle w:val="Heading2"/>
        <w:spacing w:after="160" w:before="340"/>
      </w:pPr>
      <w:r>
        <w:t xml:space="preserve">22.1 La posibilidad central a considerar</w:t>
      </w:r>
    </w:p>
    <w:p>
      <w:pPr>
        <w:spacing w:after="160"/>
        <w:jc w:val="both"/>
      </w:pPr>
      <w:r>
        <w:rPr>
          <w:rFonts w:ascii="Calibri" w:cs="Calibri" w:eastAsia="Calibri" w:hAnsi="Calibri"/>
          <w:sz w:val="22"/>
          <w:szCs w:val="22"/>
        </w:rPr>
        <w:t xml:space="preserve">La evaluación de este documento concluye que este es, en efecto, el caso descrito en el pedido original: un método que puede ser muy valioso como herramienta exploratoria para encontrar regularidades sin que sus resultados sean, por sí solos, suficientes para demostrar el significado histórico o lingüístico completo de esas regularidades. El paper hace bien la primera mitad de esa frase (herramienta exploratoria potente y bien ejecutada) y afirma, en sus pasajes más visibles (Abstract, Conclusión), más de lo que la segunda mitad permite sin matices adicionales.</w:t>
      </w:r>
    </w:p>
    <w:p>
      <w:pPr>
        <w:pStyle w:val="Heading1"/>
        <w:spacing w:after="240" w:before="480"/>
      </w:pPr>
      <w:r>
        <w:t xml:space="preserve">23. Revisión de cada conclusión principal del autor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100"/>
        <w:gridCol w:w="2000"/>
        <w:gridCol w:w="2000"/>
      </w:tblGrid>
      <w:tr>
        <w:trPr>
          <w:tblHeader/>
        </w:trPr>
        <w:tc>
          <w:tcPr>
            <w:tcW w:type="dxa" w:w="2200"/>
            <w:shd w:fill="2F5496" w:val="clear"/>
            <w:tcMar>
              <w:top w:type="dxa" w:w="60"/>
              <w:left w:type="dxa" w:w="80"/>
              <w:bottom w:type="dxa" w:w="60"/>
              <w:right w:type="dxa" w:w="80"/>
            </w:tcMar>
          </w:tcPr>
          <w:p>
            <w:r>
              <w:rPr>
                <w:rFonts w:ascii="Calibri" w:cs="Calibri" w:eastAsia="Calibri" w:hAnsi="Calibri"/>
                <w:b/>
                <w:bCs/>
                <w:color w:val="FFFFFF"/>
                <w:sz w:val="16"/>
                <w:szCs w:val="16"/>
              </w:rPr>
              <w:t xml:space="preserve">Conclusión del autor</w:t>
            </w:r>
          </w:p>
        </w:tc>
        <w:tc>
          <w:tcPr>
            <w:tcW w:type="dxa" w:w="2000"/>
            <w:shd w:fill="2F5496" w:val="clear"/>
            <w:tcMar>
              <w:top w:type="dxa" w:w="60"/>
              <w:left w:type="dxa" w:w="80"/>
              <w:bottom w:type="dxa" w:w="60"/>
              <w:right w:type="dxa" w:w="80"/>
            </w:tcMar>
          </w:tcPr>
          <w:p>
            <w:r>
              <w:rPr>
                <w:rFonts w:ascii="Calibri" w:cs="Calibri" w:eastAsia="Calibri" w:hAnsi="Calibri"/>
                <w:b/>
                <w:bCs/>
                <w:color w:val="FFFFFF"/>
                <w:sz w:val="16"/>
                <w:szCs w:val="16"/>
              </w:rPr>
              <w:t xml:space="preserve">Evidencia</w:t>
            </w:r>
          </w:p>
        </w:tc>
        <w:tc>
          <w:tcPr>
            <w:tcW w:type="dxa" w:w="1100"/>
            <w:shd w:fill="2F5496" w:val="clear"/>
            <w:tcMar>
              <w:top w:type="dxa" w:w="60"/>
              <w:left w:type="dxa" w:w="80"/>
              <w:bottom w:type="dxa" w:w="60"/>
              <w:right w:type="dxa" w:w="80"/>
            </w:tcMar>
          </w:tcPr>
          <w:p>
            <w:r>
              <w:rPr>
                <w:rFonts w:ascii="Calibri" w:cs="Calibri" w:eastAsia="Calibri" w:hAnsi="Calibri"/>
                <w:b/>
                <w:bCs/>
                <w:color w:val="FFFFFF"/>
                <w:sz w:val="16"/>
                <w:szCs w:val="16"/>
              </w:rPr>
              <w:t xml:space="preserve">Nivel</w:t>
            </w:r>
          </w:p>
        </w:tc>
        <w:tc>
          <w:tcPr>
            <w:tcW w:type="dxa" w:w="2000"/>
            <w:shd w:fill="2F5496" w:val="clear"/>
            <w:tcMar>
              <w:top w:type="dxa" w:w="60"/>
              <w:left w:type="dxa" w:w="80"/>
              <w:bottom w:type="dxa" w:w="60"/>
              <w:right w:type="dxa" w:w="80"/>
            </w:tcMar>
          </w:tcPr>
          <w:p>
            <w:r>
              <w:rPr>
                <w:rFonts w:ascii="Calibri" w:cs="Calibri" w:eastAsia="Calibri" w:hAnsi="Calibri"/>
                <w:b/>
                <w:bCs/>
                <w:color w:val="FFFFFF"/>
                <w:sz w:val="16"/>
                <w:szCs w:val="16"/>
              </w:rPr>
              <w:t xml:space="preserve">Qué puede afirmarse</w:t>
            </w:r>
          </w:p>
        </w:tc>
        <w:tc>
          <w:tcPr>
            <w:tcW w:type="dxa" w:w="2000"/>
            <w:shd w:fill="2F5496" w:val="clear"/>
            <w:tcMar>
              <w:top w:type="dxa" w:w="60"/>
              <w:left w:type="dxa" w:w="80"/>
              <w:bottom w:type="dxa" w:w="60"/>
              <w:right w:type="dxa" w:w="80"/>
            </w:tcMar>
          </w:tcPr>
          <w:p>
            <w:r>
              <w:rPr>
                <w:rFonts w:ascii="Calibri" w:cs="Calibri" w:eastAsia="Calibri" w:hAnsi="Calibri"/>
                <w:b/>
                <w:bCs/>
                <w:color w:val="FFFFFF"/>
                <w:sz w:val="16"/>
                <w:szCs w:val="16"/>
              </w:rPr>
              <w:t xml:space="preserve">Qué sería excesivo afirmar</w:t>
            </w:r>
          </w:p>
        </w:tc>
      </w:tr>
      <w:tr>
        <w:tc>
          <w:tcPr>
            <w:tcW w:type="dxa" w:w="22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Los colores del khipu inca ocupan dominios semánticos distintos y relacionalmente opuestos (Abstract)</w:t>
            </w:r>
          </w:p>
        </w:tc>
        <w:tc>
          <w:tcPr>
            <w:tcW w:type="dxa" w:w="20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30 clusters HDBSCAN + matriz de similitud coseno (Figuras 3-5)</w:t>
            </w:r>
          </w:p>
        </w:tc>
        <w:tc>
          <w:tcPr>
            <w:tcW w:type="dxa" w:w="11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Medio</w:t>
            </w:r>
          </w:p>
        </w:tc>
        <w:tc>
          <w:tcPr>
            <w:tcW w:type="dxa" w:w="20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Existe una estructura estadística distribucional distinguible entre grupos de colores, reproducible y no trivialmente aleatoria</w:t>
            </w:r>
          </w:p>
        </w:tc>
        <w:tc>
          <w:tcPr>
            <w:tcW w:type="dxa" w:w="20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Que estos “dominios” sean, en sentido pleno, dominios de significado cultural intencional ya identificados, y no solo regiones de un espacio de co-ocurrencia</w:t>
            </w:r>
          </w:p>
        </w:tc>
      </w:tr>
      <w:tr>
        <w:tc>
          <w:tcPr>
            <w:tcW w:type="dxa" w:w="22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Muchos colores son polisémicos, no monosémicos (Resultados, p.16-19)</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Histogramas de similitud coseno por color (Figuras 6-9)</w:t>
            </w:r>
          </w:p>
        </w:tc>
        <w:tc>
          <w:tcPr>
            <w:tcW w:type="dxa" w:w="11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Medio-Alto</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El patrón de uso de la mayoría de los colores no es uniforme; hay evidencia estadística de múltiples “modos” de uso por color</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Que la polisemia detectada sea necesariamente semántica (creatividad de significado) y no, en parte, un artefacto de mezclar géneros administrativos distintos sin control (sección 12.1)</w:t>
            </w:r>
          </w:p>
        </w:tc>
      </w:tr>
      <w:tr>
        <w:tc>
          <w:tcPr>
            <w:tcW w:type="dxa" w:w="22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El sistema de color estuvo ampliamente convencionalizado a escala imperial (Discusión, p.25)</w:t>
            </w:r>
          </w:p>
        </w:tc>
        <w:tc>
          <w:tcPr>
            <w:tcW w:type="dxa" w:w="20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Baja divergencia geográfica (Figuras 10-11) + cita de Murúa sobre escuela de Cuzco</w:t>
            </w:r>
          </w:p>
        </w:tc>
        <w:tc>
          <w:tcPr>
            <w:tcW w:type="dxa" w:w="11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Medio</w:t>
            </w:r>
          </w:p>
        </w:tc>
        <w:tc>
          <w:tcPr>
            <w:tcW w:type="dxa" w:w="20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El uso estadístico del color, tal como está registrado en el OKR, es consistente entre las procedencias representadas en el corpus digitalizado</w:t>
            </w:r>
          </w:p>
        </w:tc>
        <w:tc>
          <w:tcPr>
            <w:tcW w:type="dxa" w:w="20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Que hubiera “acuerdo” consciente entre khipukamayuqs de todo el imperio en sentido normativo pleno, más allá de lo que un patrón estadístico agregado puede establecer por sí mismo</w:t>
            </w:r>
          </w:p>
        </w:tc>
      </w:tr>
      <w:tr>
        <w:tc>
          <w:tcPr>
            <w:tcW w:type="dxa" w:w="22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Las varas envueltas de Inkawasi sirvieron como plantillas de estandarización de color (Discusión, p.26)</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75% de coincidencia (9/12 contrastes) entre las varas y los dominios semánticos del modelo</w:t>
            </w:r>
          </w:p>
        </w:tc>
        <w:tc>
          <w:tcPr>
            <w:tcW w:type="dxa" w:w="11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Alto (para Inkawasi específicamente)</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En Inkawasi, existe una correlación notable y probablemente no casual entre un objeto físico de producción y los patrones estadísticos de color del modelo</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Que este hallazgo, específico de un sitio, se extienda automáticamente a “Inka khipukamayuqs” en general sin evidencia equivalente de otros sitios</w:t>
            </w:r>
          </w:p>
        </w:tc>
      </w:tr>
      <w:tr>
        <w:tc>
          <w:tcPr>
            <w:tcW w:type="dxa" w:w="22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El conjunto de “refinamiento” podría estar asociado a realeza y lo sagrado, en línea con Calancha (Discusión, p.25)</w:t>
            </w:r>
          </w:p>
        </w:tc>
        <w:tc>
          <w:tcPr>
            <w:tcW w:type="dxa" w:w="20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Coincidencia temática entre colores raros del modelo y la lista de Calancha (1638)</w:t>
            </w:r>
          </w:p>
        </w:tc>
        <w:tc>
          <w:tcPr>
            <w:tcW w:type="dxa" w:w="11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Bajo/Especulativo (así calificado por el propio autor)</w:t>
            </w:r>
          </w:p>
        </w:tc>
        <w:tc>
          <w:tcPr>
            <w:tcW w:type="dxa" w:w="20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Hay una coincidencia sugerente que amerita investigación futura</w:t>
            </w:r>
          </w:p>
        </w:tc>
        <w:tc>
          <w:tcPr>
            <w:tcW w:type="dxa" w:w="2000"/>
            <w:shd w:fill="F2F2F2"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Cualquier afirmación de que esto está confirmado — y el propio autor no la hace, lo cual es correcto</w:t>
            </w:r>
          </w:p>
        </w:tc>
      </w:tr>
      <w:tr>
        <w:tc>
          <w:tcPr>
            <w:tcW w:type="dxa" w:w="22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Los khipus incas deben entenderse como un sistema de escritura sofisticado, similar a otros medios lingüísticos (Conclusión, p.28-29)</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Estructura + polisemia del sistema de color, combinadas retóricamente con el marco de escritura ya argumentado en Clindaniel (2019)</w:t>
            </w:r>
          </w:p>
        </w:tc>
        <w:tc>
          <w:tcPr>
            <w:tcW w:type="dxa" w:w="11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Bajo (para esta afirmación específica, en este paper)</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El comportamiento distribucional del color muestra paralelismos formales con la polisemia de las lenguas naturales</w:t>
            </w:r>
          </w:p>
        </w:tc>
        <w:tc>
          <w:tcPr>
            <w:tcW w:type="dxa" w:w="2000"/>
            <w:shd w:fill="FFFFFF" w:val="clear"/>
            <w:tcMar>
              <w:top w:type="dxa" w:w="60"/>
              <w:left w:type="dxa" w:w="80"/>
              <w:bottom w:type="dxa" w:w="60"/>
              <w:right w:type="dxa" w:w="80"/>
            </w:tcMar>
          </w:tcPr>
          <w:p>
            <w:r>
              <w:rPr>
                <w:rFonts w:ascii="Calibri" w:cs="Calibri" w:eastAsia="Calibri" w:hAnsi="Calibri"/>
                <w:b w:val="false"/>
                <w:bCs w:val="false"/>
                <w:color w:val="000000"/>
                <w:sz w:val="16"/>
                <w:szCs w:val="16"/>
              </w:rPr>
              <w:t xml:space="preserve">Que esta equivalencia estructural formal sea prueba suficiente, por sí sola, de que el khipu es un “sistema de escritura” en el sentido pleno del término — esa es una tesis más amplia, ya debatida en la propia disciplina (DeFrancis 1989 vs. Boone 2011), que este paper no vuelve a argumentar de forma independiente</w:t>
            </w:r>
          </w:p>
        </w:tc>
      </w:tr>
    </w:tbl>
    <w:p>
      <w:pPr>
        <w:pStyle w:val="Heading1"/>
        <w:pageBreakBefore/>
        <w:spacing w:after="240" w:before="480"/>
      </w:pPr>
      <w:r>
        <w:t xml:space="preserve">24. Conclusión crítica final</w:t>
      </w:r>
    </w:p>
    <w:p>
      <w:pPr>
        <w:pStyle w:val="Heading2"/>
        <w:spacing w:after="160" w:before="340"/>
      </w:pPr>
      <w:r>
        <w:t xml:space="preserve">24.1 ¿Qué demuestra realmente el paper?</w:t>
      </w:r>
    </w:p>
    <w:p>
      <w:pPr>
        <w:spacing w:after="160"/>
        <w:jc w:val="both"/>
      </w:pPr>
      <w:r>
        <w:rPr>
          <w:rFonts w:ascii="Calibri" w:cs="Calibri" w:eastAsia="Calibri" w:hAnsi="Calibri"/>
          <w:sz w:val="22"/>
          <w:szCs w:val="22"/>
        </w:rPr>
        <w:t xml:space="preserve">Demuestra, con rigor técnico razonable y datos verificables, que el color de las cuerdas en los 629 khipus de estilo inca digitalizados en el OKR no se distribuye al azar: existe una estructura estadística reproducible, con colores frecuentes ocupando regiones bien delimitadas de un espacio de embeddings aprendido por contexto, y con una mayoría de colores mostrando comportamiento consistente con polisemia (múltiples usos relacionados, no aleatorios). Demuestra también, de forma más acotada pero sólida, que esta estructura no es puramente un artefacto de un único sitio o de la degradación tafonómica del corpus, apoyándose en un punto de evidencia material genuinamente independiente: la correlación del 75% con las varas envueltas de color excavadas en Inkawasi.</w:t>
      </w:r>
    </w:p>
    <w:p>
      <w:pPr>
        <w:pStyle w:val="Heading2"/>
        <w:spacing w:after="160" w:before="340"/>
      </w:pPr>
      <w:r>
        <w:t xml:space="preserve">24.2 ¿Qué sugiere, sin demostrarlo de forma concluyente?</w:t>
      </w:r>
    </w:p>
    <w:p>
      <w:pPr>
        <w:spacing w:after="160"/>
        <w:jc w:val="both"/>
      </w:pPr>
      <w:r>
        <w:rPr>
          <w:rFonts w:ascii="Calibri" w:cs="Calibri" w:eastAsia="Calibri" w:hAnsi="Calibri"/>
          <w:sz w:val="22"/>
          <w:szCs w:val="22"/>
        </w:rPr>
        <w:t xml:space="preserve">Sugiere, de forma razonable pero no probada con este diseño de estudio, que esta estructura estadística refleja una convención semiótica compartida e intencionalmente mantenida a escala imperial; que el sistema de color se organiza en tres niveles de especialización (fundacional/extensión/refinamiento); y que al menos algunos de los colores más raros podrían estar asociados a conceptos de realeza y lo sagrado, en línea parcial con el cronista Calancha — esta última, correctamente calificada por el propio autor como especulativa.</w:t>
      </w:r>
    </w:p>
    <w:p>
      <w:pPr>
        <w:pStyle w:val="Heading2"/>
        <w:spacing w:after="160" w:before="340"/>
      </w:pPr>
      <w:r>
        <w:t xml:space="preserve">24.3 ¿Qué todavía no demuestra?</w:t>
      </w:r>
    </w:p>
    <w:p>
      <w:pPr>
        <w:pStyle w:val="ListParagraph"/>
        <w:numPr>
          <w:ilvl w:val="0"/>
          <w:numId w:val="1"/>
        </w:numPr>
        <w:spacing w:after="90"/>
      </w:pPr>
      <w:r>
        <w:rPr>
          <w:rFonts w:ascii="Calibri" w:cs="Calibri" w:eastAsia="Calibri" w:hAnsi="Calibri"/>
          <w:sz w:val="22"/>
          <w:szCs w:val="22"/>
        </w:rPr>
        <w:t xml:space="preserve">No demuestra qué significaba específicamente cada uno de los 30 clusters, 127 frases o 20 tópicos para un khipukamayuq inca — el propio autor lo reconoce explícitamente (p.25).</w:t>
      </w:r>
    </w:p>
    <w:p>
      <w:pPr>
        <w:pStyle w:val="ListParagraph"/>
        <w:numPr>
          <w:ilvl w:val="0"/>
          <w:numId w:val="1"/>
        </w:numPr>
        <w:spacing w:after="90"/>
      </w:pPr>
      <w:r>
        <w:rPr>
          <w:rFonts w:ascii="Calibri" w:cs="Calibri" w:eastAsia="Calibri" w:hAnsi="Calibri"/>
          <w:sz w:val="22"/>
          <w:szCs w:val="22"/>
        </w:rPr>
        <w:t xml:space="preserve">No demuestra que la estructura hallada sea de naturaleza primariamente lingüística/textual, en vez de ser (parcial o totalmente) un reflejo indirecto de estructura aritmética-administrativa ya documentada de forma independiente por otra literatura del mismo corpus (Medrano y Khosla 2024).</w:t>
      </w:r>
    </w:p>
    <w:p>
      <w:pPr>
        <w:pStyle w:val="ListParagraph"/>
        <w:numPr>
          <w:ilvl w:val="0"/>
          <w:numId w:val="1"/>
        </w:numPr>
        <w:spacing w:after="90"/>
      </w:pPr>
      <w:r>
        <w:rPr>
          <w:rFonts w:ascii="Calibri" w:cs="Calibri" w:eastAsia="Calibri" w:hAnsi="Calibri"/>
          <w:sz w:val="22"/>
          <w:szCs w:val="22"/>
        </w:rPr>
        <w:t xml:space="preserve">No demuestra que la “polisemia” detectada no sea, en una fracción no cuantificada, un artefacto de mezclar géneros administrativos, procedencias con distinto grado de control estatal, o khipus con distinta calidad de conservación en un solo análisis agregado sin variables de control.</w:t>
      </w:r>
    </w:p>
    <w:p>
      <w:pPr>
        <w:pStyle w:val="ListParagraph"/>
        <w:numPr>
          <w:ilvl w:val="0"/>
          <w:numId w:val="1"/>
        </w:numPr>
        <w:spacing w:after="90"/>
      </w:pPr>
      <w:r>
        <w:rPr>
          <w:rFonts w:ascii="Calibri" w:cs="Calibri" w:eastAsia="Calibri" w:hAnsi="Calibri"/>
          <w:sz w:val="22"/>
          <w:szCs w:val="22"/>
        </w:rPr>
        <w:t xml:space="preserve">No demuestra —porque no lo intenta, y esto debe decirse en su favor— que el khipu sea un “sistema de escritura” en sentido pleno; hereda esa tesis de trabajo previo del mismo autor sin volver a argumentarla con evidencia nueva propia de este estudio.</w:t>
      </w:r>
    </w:p>
    <w:p>
      <w:pPr>
        <w:pStyle w:val="Heading2"/>
        <w:spacing w:after="160" w:before="340"/>
      </w:pPr>
      <w:r>
        <w:t xml:space="preserve">24.4 ¿Qué podría ser consecuencia de la representación elegida, y no de una propiedad real del khipu?</w:t>
      </w:r>
    </w:p>
    <w:p>
      <w:pPr>
        <w:spacing w:after="160"/>
        <w:jc w:val="both"/>
      </w:pPr>
      <w:r>
        <w:rPr>
          <w:rFonts w:ascii="Calibri" w:cs="Calibri" w:eastAsia="Calibri" w:hAnsi="Calibri"/>
          <w:sz w:val="22"/>
          <w:szCs w:val="22"/>
        </w:rPr>
        <w:t xml:space="preserve">Al menos tres resultados del paper son vulnerables, en algún grado, a esta pregunta: (1) el número exacto de “dominios semánticos” (30), que depende de umbrales de clustering no sometidos a análisis de sensibilidad; (2) el grado de polisemia detectado, que podría estar inflado por la ausencia de control de género administrativo; y (3) la propia existencia de “dominios semánticos” como categoría interpretativa, que presupone —sin demostrarlo de forma independiente en este paper— que la unidad “grupo de cuerdas” funciona efectivamente como una oración con cohesión semántica, tal como el propio autor la “presume” en la página 7.</w:t>
      </w:r>
    </w:p>
    <w:p>
      <w:pPr>
        <w:pStyle w:val="Heading2"/>
        <w:spacing w:after="160" w:before="340"/>
      </w:pPr>
      <w:r>
        <w:t xml:space="preserve">24.5 ¿Qué conclusiones del autor parecen demasiado optimistas?</w:t>
      </w:r>
    </w:p>
    <w:p>
      <w:pPr>
        <w:spacing w:after="160"/>
        <w:jc w:val="both"/>
      </w:pPr>
      <w:r>
        <w:rPr>
          <w:rFonts w:ascii="Calibri" w:cs="Calibri" w:eastAsia="Calibri" w:hAnsi="Calibri"/>
          <w:sz w:val="22"/>
          <w:szCs w:val="22"/>
        </w:rPr>
        <w:t xml:space="preserve">Dos, con distinto grado de optimismo: la afirmación de “widespread agreement” sobre el significado de cada color (p.25), que usa un término de intención comunicativa consciente para describir lo que, estrictamente, es consistencia estadística distribucional; y la frase de cierre sobre “sophisticated writing system akin to other linguistic media” (p.28-29), que generaliza una tesis más amplia y ya establecida en trabajo previo del propio autor, presentándola en la Conclusión de este paper específico como si emergiera naturalmente de los nuevos resultados de color, cuando en realidad los nuevos resultados son compatibles con esa tesis previa sin constituir, por sí solos, una prueba independiente de ella.</w:t>
      </w:r>
    </w:p>
    <w:p>
      <w:pPr>
        <w:pStyle w:val="Heading2"/>
        <w:spacing w:after="160" w:before="340"/>
      </w:pPr>
      <w:r>
        <w:t xml:space="preserve">24.6 ¿Qué conclusiones siguen siendo valiosas a pesar de estas limitaciones?</w:t>
      </w:r>
    </w:p>
    <w:p>
      <w:pPr>
        <w:spacing w:after="160"/>
        <w:jc w:val="both"/>
      </w:pPr>
      <w:r>
        <w:rPr>
          <w:rFonts w:ascii="Calibri" w:cs="Calibri" w:eastAsia="Calibri" w:hAnsi="Calibri"/>
          <w:sz w:val="22"/>
          <w:szCs w:val="22"/>
        </w:rPr>
        <w:t xml:space="preserve">El hallazgo de estructura distribucional no aleatoria en el color de cuerda, a la escala de 629 khipus, es un aporte genuino y metodológicamente demostrado — es, hasta donde permite verificar el corpus bibliográfico ya revisado en este proyecto, el primer estudio que aporta evidencia cuantitativa de esta escala sobre el fenómeno. La correlación con las varas de Inkawasi es un punto de convergencia arqueológica-computacional valioso y bien argumentado. Y la identificación de tres niveles de organización (fundacional/extensión/refinamiento) es una hipótesis productiva y falsable para investigación futura, incluso si aún no está confirmada de forma independiente.</w:t>
      </w:r>
    </w:p>
    <w:p>
      <w:pPr>
        <w:pStyle w:val="Heading2"/>
        <w:spacing w:after="160" w:before="340"/>
      </w:pPr>
      <w:r>
        <w:t xml:space="preserve">24.7 ¿Qué tendría que demostrarse en investigaciones futuras?</w:t>
      </w:r>
    </w:p>
    <w:p>
      <w:pPr>
        <w:pStyle w:val="ListParagraph"/>
        <w:numPr>
          <w:ilvl w:val="0"/>
          <w:numId w:val="1"/>
        </w:numPr>
        <w:spacing w:after="90"/>
      </w:pPr>
      <w:r>
        <w:rPr>
          <w:rFonts w:ascii="Calibri" w:cs="Calibri" w:eastAsia="Calibri" w:hAnsi="Calibri"/>
          <w:sz w:val="22"/>
          <w:szCs w:val="22"/>
        </w:rPr>
        <w:t xml:space="preserve">Un control de permutación que descarte que el pipeline encuentra estructura incluso en datos sin significado semántico real.</w:t>
      </w:r>
    </w:p>
    <w:p>
      <w:pPr>
        <w:pStyle w:val="ListParagraph"/>
        <w:numPr>
          <w:ilvl w:val="0"/>
          <w:numId w:val="1"/>
        </w:numPr>
        <w:spacing w:after="90"/>
      </w:pPr>
      <w:r>
        <w:rPr>
          <w:rFonts w:ascii="Calibri" w:cs="Calibri" w:eastAsia="Calibri" w:hAnsi="Calibri"/>
          <w:sz w:val="22"/>
          <w:szCs w:val="22"/>
        </w:rPr>
        <w:t xml:space="preserve">Un análisis estratificado por género administrativo del khipu, que separe estructura aritmética/contable de estructura puramente semántico-cromática.</w:t>
      </w:r>
    </w:p>
    <w:p>
      <w:pPr>
        <w:pStyle w:val="ListParagraph"/>
        <w:numPr>
          <w:ilvl w:val="0"/>
          <w:numId w:val="1"/>
        </w:numPr>
        <w:spacing w:after="90"/>
      </w:pPr>
      <w:r>
        <w:rPr>
          <w:rFonts w:ascii="Calibri" w:cs="Calibri" w:eastAsia="Calibri" w:hAnsi="Calibri"/>
          <w:sz w:val="22"/>
          <w:szCs w:val="22"/>
        </w:rPr>
        <w:t xml:space="preserve">Una validación cualitativa ciega, con casos de referencia no interpretados previamente por el propio autor.</w:t>
      </w:r>
    </w:p>
    <w:p>
      <w:pPr>
        <w:pStyle w:val="ListParagraph"/>
        <w:numPr>
          <w:ilvl w:val="0"/>
          <w:numId w:val="1"/>
        </w:numPr>
        <w:spacing w:after="90"/>
      </w:pPr>
      <w:r>
        <w:rPr>
          <w:rFonts w:ascii="Calibri" w:cs="Calibri" w:eastAsia="Calibri" w:hAnsi="Calibri"/>
          <w:sz w:val="22"/>
          <w:szCs w:val="22"/>
        </w:rPr>
        <w:t xml:space="preserve">La incorporación de variables adicionales (material, jerarquía estructural, valor numérico) ya identificadas como pendientes por el propio autor (p.27-28).</w:t>
      </w:r>
    </w:p>
    <w:p>
      <w:pPr>
        <w:pStyle w:val="ListParagraph"/>
        <w:numPr>
          <w:ilvl w:val="0"/>
          <w:numId w:val="1"/>
        </w:numPr>
        <w:spacing w:after="90"/>
      </w:pPr>
      <w:r>
        <w:rPr>
          <w:rFonts w:ascii="Calibri" w:cs="Calibri" w:eastAsia="Calibri" w:hAnsi="Calibri"/>
          <w:sz w:val="22"/>
          <w:szCs w:val="22"/>
        </w:rPr>
        <w:t xml:space="preserve">Una extensión del análisis a khipus preincas y poscoloniales, para poner a prueba si la polisemia hallada es específica del período inca o una propiedad más general de la tradición del khipu.</w:t>
      </w:r>
    </w:p>
    <w:p>
      <w:pPr>
        <w:pStyle w:val="Heading2"/>
        <w:spacing w:after="160" w:before="340"/>
      </w:pPr>
      <w:r>
        <w:t xml:space="preserve">24.8 Respuesta a la pregunta maestra</w:t>
      </w:r>
    </w:p>
    <w:p>
      <w:pPr>
        <w:spacing w:after="160"/>
        <w:jc w:val="both"/>
      </w:pPr>
      <w:r>
        <w:rPr>
          <w:rFonts w:ascii="Calibri" w:cs="Calibri" w:eastAsia="Calibri" w:hAnsi="Calibri"/>
          <w:sz w:val="22"/>
          <w:szCs w:val="22"/>
        </w:rPr>
        <w:t xml:space="preserve">La pregunta maestra planteada para esta evaluación fue: ¿el trabajo realmente descubre propiedades de cómo funcionan o qué significan los khipus, o principalmente demuestra que es posible encontrar regularidades estadísticas cuando los khipus son representados de una determinada manera?</w:t>
      </w:r>
    </w:p>
    <w:p>
      <w:pPr>
        <w:spacing w:after="160"/>
        <w:jc w:val="both"/>
      </w:pPr>
      <w:r>
        <w:rPr>
          <w:rFonts w:ascii="Calibri" w:cs="Calibri" w:eastAsia="Calibri" w:hAnsi="Calibri"/>
          <w:sz w:val="22"/>
          <w:szCs w:val="22"/>
        </w:rPr>
        <w:t xml:space="preserve">La respuesta más precisa, a partir de la evidencia disponible en el propio paper, es que hace ambas cosas, en proporciones distintas según la afirmación específica que se evalúe. El paper demuestra, con solidez razonable, que es posible encontrar regularidades estadísticas robustas —no triviales, parcialmente corroboradas por evidencia material independiente— cuando los khipus se representan de la manera elegida (KCCS + estructura tipo-texto + BERT). Sobre si esas regularidades constituyen, además, un descubrimiento genuino de cómo funcionaban o qué significaban los khipus para los khipukamayuqs incas, la evidencia es más desigual: fuerte y bien corroborada para la existencia de estructura no aleatoria; moderada para la organización en tres niveles de especialización; débil (y correctamente calificada como tal por el propio autor) para las asociaciones de significado cultural específico; y ausente, en este paper en particular, para la tesis más amplia de que el khipu constituye un “sistema de escritura”.</w:t>
      </w:r>
    </w:p>
    <w:p>
      <w:pPr>
        <w:spacing w:after="160"/>
        <w:jc w:val="both"/>
      </w:pPr>
      <w:r>
        <w:rPr>
          <w:rFonts w:ascii="Calibri" w:cs="Calibri" w:eastAsia="Calibri" w:hAnsi="Calibri"/>
          <w:sz w:val="22"/>
          <w:szCs w:val="22"/>
        </w:rPr>
        <w:t xml:space="preserve">La segunda pregunta maestra fue: ¿qué evidencia adicional sería necesaria para pasar de encontrar patrones computacionales a afirmar que esos patrones tienen significado histórico, lingüístico o funcional en el sistema real de los khipus? La sección 18 de este documento (experimentos que faltan) responde esta pregunta de forma operacional: controles de permutación, análisis estratificado por género, validación ciega por terceros, incorporación de variables numéricas/materiales, y extensión a otros períodos históricos. Ninguno de estos experimentos es trivial ni rápido de ejecutar — pero todos son, en principio, realizables con los mismos datos y herramientas que el paper ya usa, lo cual es en sí mismo una fortaleza del estudio: su diseño abierto y reproducible (código publicado en Zenodo) hace que estas extensiones sean factibles para investigación futura, propia o de terceros.</w:t>
      </w:r>
    </w:p>
    <w:p>
      <w:pPr>
        <w:pStyle w:val="Heading1"/>
        <w:pageBreakBefore/>
        <w:spacing w:after="240" w:before="480"/>
      </w:pPr>
      <w:r>
        <w:t xml:space="preserve">25. Preguntas para discutir con el profesor</w:t>
      </w:r>
    </w:p>
    <w:p>
      <w:pPr>
        <w:spacing w:after="160"/>
        <w:jc w:val="both"/>
      </w:pPr>
      <w:r>
        <w:rPr>
          <w:rFonts w:ascii="Calibri" w:cs="Calibri" w:eastAsia="Calibri" w:hAnsi="Calibri"/>
          <w:sz w:val="22"/>
          <w:szCs w:val="22"/>
        </w:rPr>
        <w:t xml:space="preserve">Quince preguntas, ordenadas de la más fundamental (marco conceptual) a la más técnica (validación estadística), pensadas para generar discusión académica genuina, no para tener una respuesta cerrada.</w:t>
      </w:r>
    </w:p>
    <w:p>
      <w:pPr>
        <w:pStyle w:val="ListParagraph"/>
        <w:numPr>
          <w:ilvl w:val="0"/>
          <w:numId w:val="1"/>
        </w:numPr>
        <w:spacing w:after="90"/>
      </w:pPr>
      <w:r>
        <w:rPr>
          <w:rFonts w:ascii="Calibri" w:cs="Calibri" w:eastAsia="Calibri" w:hAnsi="Calibri"/>
          <w:b/>
          <w:bCs/>
          <w:sz w:val="22"/>
          <w:szCs w:val="22"/>
        </w:rPr>
        <w:t xml:space="preserve">1. </w:t>
      </w:r>
      <w:r>
        <w:rPr>
          <w:rFonts w:ascii="Calibri" w:cs="Calibri" w:eastAsia="Calibri" w:hAnsi="Calibri"/>
          <w:sz w:val="22"/>
          <w:szCs w:val="22"/>
        </w:rPr>
        <w:t xml:space="preserve">El autor mismo describe la equivalencia “grupo de cuerdas = oración” como algo que “presume” (p.7). ¿Qué evidencia, dentro o fuera de este paper, permitiría convertir esa presunción en un hallazgo demostrado, en vez de en un supuesto de trabajo necesario para poder aplicar la técnica de NLP elegida?</w:t>
      </w:r>
    </w:p>
    <w:p>
      <w:pPr>
        <w:pStyle w:val="ListParagraph"/>
        <w:numPr>
          <w:ilvl w:val="0"/>
          <w:numId w:val="1"/>
        </w:numPr>
        <w:spacing w:after="90"/>
      </w:pPr>
      <w:r>
        <w:rPr>
          <w:rFonts w:ascii="Calibri" w:cs="Calibri" w:eastAsia="Calibri" w:hAnsi="Calibri"/>
          <w:b/>
          <w:bCs/>
          <w:sz w:val="22"/>
          <w:szCs w:val="22"/>
        </w:rPr>
        <w:t xml:space="preserve">2. </w:t>
      </w:r>
      <w:r>
        <w:rPr>
          <w:rFonts w:ascii="Calibri" w:cs="Calibri" w:eastAsia="Calibri" w:hAnsi="Calibri"/>
          <w:sz w:val="22"/>
          <w:szCs w:val="22"/>
        </w:rPr>
        <w:t xml:space="preserve">Dado que el caso de significado de color mejor documentado en toda la literatura de khipus (KH0503/KH0491) es, según la propia disertación de 2019 del autor, fundamentalmente aritmético (marca roles de sumando/resultado), ¿por qué el modelo de 2024 no incorpora ninguna variable numérica o aritmética como contexto? ¿Cambiaría esto sustancialmente los resultados?</w:t>
      </w:r>
    </w:p>
    <w:p>
      <w:pPr>
        <w:pStyle w:val="ListParagraph"/>
        <w:numPr>
          <w:ilvl w:val="0"/>
          <w:numId w:val="1"/>
        </w:numPr>
        <w:spacing w:after="90"/>
      </w:pPr>
      <w:r>
        <w:rPr>
          <w:rFonts w:ascii="Calibri" w:cs="Calibri" w:eastAsia="Calibri" w:hAnsi="Calibri"/>
          <w:b/>
          <w:bCs/>
          <w:sz w:val="22"/>
          <w:szCs w:val="22"/>
        </w:rPr>
        <w:t xml:space="preserve">3. </w:t>
      </w:r>
      <w:r>
        <w:rPr>
          <w:rFonts w:ascii="Calibri" w:cs="Calibri" w:eastAsia="Calibri" w:hAnsi="Calibri"/>
          <w:sz w:val="22"/>
          <w:szCs w:val="22"/>
        </w:rPr>
        <w:t xml:space="preserve">¿Qué significa exactamente “estar en el mismo cluster” en términos de la vida real de un khipukamayuq inca? ¿Es razonable exigir que un cluster estadístico corresponda a una categoría cognitiva o cultural nativa, o es más honesto describir los clusters únicamente como “regiones de uso estadísticamente similar”, sin el salto interpretativo adicional?</w:t>
      </w:r>
    </w:p>
    <w:p>
      <w:pPr>
        <w:pStyle w:val="ListParagraph"/>
        <w:numPr>
          <w:ilvl w:val="0"/>
          <w:numId w:val="1"/>
        </w:numPr>
        <w:spacing w:after="90"/>
      </w:pPr>
      <w:r>
        <w:rPr>
          <w:rFonts w:ascii="Calibri" w:cs="Calibri" w:eastAsia="Calibri" w:hAnsi="Calibri"/>
          <w:b/>
          <w:bCs/>
          <w:sz w:val="22"/>
          <w:szCs w:val="22"/>
        </w:rPr>
        <w:t xml:space="preserve">4. </w:t>
      </w:r>
      <w:r>
        <w:rPr>
          <w:rFonts w:ascii="Calibri" w:cs="Calibri" w:eastAsia="Calibri" w:hAnsi="Calibri"/>
          <w:sz w:val="22"/>
          <w:szCs w:val="22"/>
        </w:rPr>
        <w:t xml:space="preserve">La validación cualitativa principal del modelo (KH0503 vs. KH0491, p.22) compara sus resultados con la interpretación manual previa del mismo autor sobre los mismos dos khipus. ¿Hasta qué punto esto constituye una validación independiente, y qué diseño de validación ciega sería necesario para descartar la circularidad?</w:t>
      </w:r>
    </w:p>
    <w:p>
      <w:pPr>
        <w:pStyle w:val="ListParagraph"/>
        <w:numPr>
          <w:ilvl w:val="0"/>
          <w:numId w:val="1"/>
        </w:numPr>
        <w:spacing w:after="90"/>
      </w:pPr>
      <w:r>
        <w:rPr>
          <w:rFonts w:ascii="Calibri" w:cs="Calibri" w:eastAsia="Calibri" w:hAnsi="Calibri"/>
          <w:b/>
          <w:bCs/>
          <w:sz w:val="22"/>
          <w:szCs w:val="22"/>
        </w:rPr>
        <w:t xml:space="preserve">5. </w:t>
      </w:r>
      <w:r>
        <w:rPr>
          <w:rFonts w:ascii="Calibri" w:cs="Calibri" w:eastAsia="Calibri" w:hAnsi="Calibri"/>
          <w:sz w:val="22"/>
          <w:szCs w:val="22"/>
        </w:rPr>
        <w:t xml:space="preserve">¿Qué información se pierde irreversiblemente al reducir el color observado directamente sobre una cuerda física a un código KCCS agregado, y cómo podríamos saber si esa información perdida era, precisamente, la que distinguía significados reales para los khipukamayuqs?</w:t>
      </w:r>
    </w:p>
    <w:p>
      <w:pPr>
        <w:pStyle w:val="ListParagraph"/>
        <w:numPr>
          <w:ilvl w:val="0"/>
          <w:numId w:val="1"/>
        </w:numPr>
        <w:spacing w:after="90"/>
      </w:pPr>
      <w:r>
        <w:rPr>
          <w:rFonts w:ascii="Calibri" w:cs="Calibri" w:eastAsia="Calibri" w:hAnsi="Calibri"/>
          <w:b/>
          <w:bCs/>
          <w:sz w:val="22"/>
          <w:szCs w:val="22"/>
        </w:rPr>
        <w:t xml:space="preserve">6. </w:t>
      </w:r>
      <w:r>
        <w:rPr>
          <w:rFonts w:ascii="Calibri" w:cs="Calibri" w:eastAsia="Calibri" w:hAnsi="Calibri"/>
          <w:sz w:val="22"/>
          <w:szCs w:val="22"/>
        </w:rPr>
        <w:t xml:space="preserve">¿Qué pasaría si se entrenara el mismo pipeline sobre una versión de los datos con los colores permutados aleatoriamente dentro de cada grupo de cuerdas? ¿Seguiríamos viendo clusters igual de nítidos, y qué nos diría eso sobre cuánta de la “estructura” hallada depende de la técnica en sí?</w:t>
      </w:r>
    </w:p>
    <w:p>
      <w:pPr>
        <w:pStyle w:val="ListParagraph"/>
        <w:numPr>
          <w:ilvl w:val="0"/>
          <w:numId w:val="1"/>
        </w:numPr>
        <w:spacing w:after="90"/>
      </w:pPr>
      <w:r>
        <w:rPr>
          <w:rFonts w:ascii="Calibri" w:cs="Calibri" w:eastAsia="Calibri" w:hAnsi="Calibri"/>
          <w:b/>
          <w:bCs/>
          <w:sz w:val="22"/>
          <w:szCs w:val="22"/>
        </w:rPr>
        <w:t xml:space="preserve">7. </w:t>
      </w:r>
      <w:r>
        <w:rPr>
          <w:rFonts w:ascii="Calibri" w:cs="Calibri" w:eastAsia="Calibri" w:hAnsi="Calibri"/>
          <w:sz w:val="22"/>
          <w:szCs w:val="22"/>
        </w:rPr>
        <w:t xml:space="preserve">El paper no discute cómo el modelo trata la repetición consecutiva de un mismo color (p.ej. rojo→rojo→azul), pese a que la propia literatura de khipus (incluyendo Clindaniel 2019) identifica el banding/seriación como una de las variables de color mejor validadas de todo el campo. ¿Es razonable que un modelo de color no aborde explícitamente este fenómeno?</w:t>
      </w:r>
    </w:p>
    <w:p>
      <w:pPr>
        <w:pStyle w:val="ListParagraph"/>
        <w:numPr>
          <w:ilvl w:val="0"/>
          <w:numId w:val="1"/>
        </w:numPr>
        <w:spacing w:after="90"/>
      </w:pPr>
      <w:r>
        <w:rPr>
          <w:rFonts w:ascii="Calibri" w:cs="Calibri" w:eastAsia="Calibri" w:hAnsi="Calibri"/>
          <w:b/>
          <w:bCs/>
          <w:sz w:val="22"/>
          <w:szCs w:val="22"/>
        </w:rPr>
        <w:t xml:space="preserve">8. </w:t>
      </w:r>
      <w:r>
        <w:rPr>
          <w:rFonts w:ascii="Calibri" w:cs="Calibri" w:eastAsia="Calibri" w:hAnsi="Calibri"/>
          <w:sz w:val="22"/>
          <w:szCs w:val="22"/>
        </w:rPr>
        <w:t xml:space="preserve">¿Hasta qué punto el hecho de que el modelo distinga correctamente KH0503 de KH0491 (khipus del mismo sitio y del mismo género administrativo, contabilidad de almacén) es evidencia de que capta “significado”, frente a la posibilidad más simple de que esté capturando variación cuantitativa de frecuencia de color entre dos documentos administrativos similares pero no idénticos?</w:t>
      </w:r>
    </w:p>
    <w:p>
      <w:pPr>
        <w:pStyle w:val="ListParagraph"/>
        <w:numPr>
          <w:ilvl w:val="0"/>
          <w:numId w:val="1"/>
        </w:numPr>
        <w:spacing w:after="90"/>
      </w:pPr>
      <w:r>
        <w:rPr>
          <w:rFonts w:ascii="Calibri" w:cs="Calibri" w:eastAsia="Calibri" w:hAnsi="Calibri"/>
          <w:b/>
          <w:bCs/>
          <w:sz w:val="22"/>
          <w:szCs w:val="22"/>
        </w:rPr>
        <w:t xml:space="preserve">9. </w:t>
      </w:r>
      <w:r>
        <w:rPr>
          <w:rFonts w:ascii="Calibri" w:cs="Calibri" w:eastAsia="Calibri" w:hAnsi="Calibri"/>
          <w:sz w:val="22"/>
          <w:szCs w:val="22"/>
        </w:rPr>
        <w:t xml:space="preserve">La correlación del 75% con las varas envueltas de Inkawasi es la evidencia más fuerte del paper — pero proviene de un solo sitio. ¿Qué se necesitaría (arqueológicamente) para poder generalizar esa correlación a “convención imperial”, y hasta entonces, cómo deberíamos calificar esa generalización en el lenguaje del paper?</w:t>
      </w:r>
    </w:p>
    <w:p>
      <w:pPr>
        <w:pStyle w:val="ListParagraph"/>
        <w:numPr>
          <w:ilvl w:val="0"/>
          <w:numId w:val="1"/>
        </w:numPr>
        <w:spacing w:after="90"/>
      </w:pPr>
      <w:r>
        <w:rPr>
          <w:rFonts w:ascii="Calibri" w:cs="Calibri" w:eastAsia="Calibri" w:hAnsi="Calibri"/>
          <w:b/>
          <w:bCs/>
          <w:sz w:val="22"/>
          <w:szCs w:val="22"/>
        </w:rPr>
        <w:t xml:space="preserve">10. </w:t>
      </w:r>
      <w:r>
        <w:rPr>
          <w:rFonts w:ascii="Calibri" w:cs="Calibri" w:eastAsia="Calibri" w:hAnsi="Calibri"/>
          <w:sz w:val="22"/>
          <w:szCs w:val="22"/>
        </w:rPr>
        <w:t xml:space="preserve">¿En qué medida el hallazgo de alta polisemia podría explicarse, parcial o totalmente, por la ausencia de una variable de control de género administrativo del khipu, dado que el propio autor reconoce en la introducción que existen “genre-specific differences” en el uso del color (p.3)?</w:t>
      </w:r>
    </w:p>
    <w:p>
      <w:pPr>
        <w:pStyle w:val="ListParagraph"/>
        <w:numPr>
          <w:ilvl w:val="0"/>
          <w:numId w:val="1"/>
        </w:numPr>
        <w:spacing w:after="90"/>
      </w:pPr>
      <w:r>
        <w:rPr>
          <w:rFonts w:ascii="Calibri" w:cs="Calibri" w:eastAsia="Calibri" w:hAnsi="Calibri"/>
          <w:b/>
          <w:bCs/>
          <w:sz w:val="22"/>
          <w:szCs w:val="22"/>
        </w:rPr>
        <w:t xml:space="preserve">11. </w:t>
      </w:r>
      <w:r>
        <w:rPr>
          <w:rFonts w:ascii="Calibri" w:cs="Calibri" w:eastAsia="Calibri" w:hAnsi="Calibri"/>
          <w:sz w:val="22"/>
          <w:szCs w:val="22"/>
        </w:rPr>
        <w:t xml:space="preserve">¿Es metodológicamente coherente que el paper cuestione la fiabilidad de un cronista (Garcilaso, contrastado y refutado empíricamente, p.2) y, párrafos después, use a otro cronista (Calancha) como fuente de apoyo interpretativo para el “conjunto de refinamiento”, sin aplicar el mismo estándar de escepticismo?</w:t>
      </w:r>
    </w:p>
    <w:p>
      <w:pPr>
        <w:pStyle w:val="ListParagraph"/>
        <w:numPr>
          <w:ilvl w:val="0"/>
          <w:numId w:val="1"/>
        </w:numPr>
        <w:spacing w:after="90"/>
      </w:pPr>
      <w:r>
        <w:rPr>
          <w:rFonts w:ascii="Calibri" w:cs="Calibri" w:eastAsia="Calibri" w:hAnsi="Calibri"/>
          <w:b/>
          <w:bCs/>
          <w:sz w:val="22"/>
          <w:szCs w:val="22"/>
        </w:rPr>
        <w:t xml:space="preserve">12. </w:t>
      </w:r>
      <w:r>
        <w:rPr>
          <w:rFonts w:ascii="Calibri" w:cs="Calibri" w:eastAsia="Calibri" w:hAnsi="Calibri"/>
          <w:sz w:val="22"/>
          <w:szCs w:val="22"/>
        </w:rPr>
        <w:t xml:space="preserve">¿Qué tan sensible es el número final de clusters (30, 127, 20) a la elección de los umbrales de HDBSCAN? Si variara sustancialmente con otros umbrales razonables, ¿debilitaría eso las cifras citadas en el Abstract como evidencia central del estudio?</w:t>
      </w:r>
    </w:p>
    <w:p>
      <w:pPr>
        <w:pStyle w:val="ListParagraph"/>
        <w:numPr>
          <w:ilvl w:val="0"/>
          <w:numId w:val="1"/>
        </w:numPr>
        <w:spacing w:after="90"/>
      </w:pPr>
      <w:r>
        <w:rPr>
          <w:rFonts w:ascii="Calibri" w:cs="Calibri" w:eastAsia="Calibri" w:hAnsi="Calibri"/>
          <w:b/>
          <w:bCs/>
          <w:sz w:val="22"/>
          <w:szCs w:val="22"/>
        </w:rPr>
        <w:t xml:space="preserve">13. </w:t>
      </w:r>
      <w:r>
        <w:rPr>
          <w:rFonts w:ascii="Calibri" w:cs="Calibri" w:eastAsia="Calibri" w:hAnsi="Calibri"/>
          <w:sz w:val="22"/>
          <w:szCs w:val="22"/>
        </w:rPr>
        <w:t xml:space="preserve">¿Qué evidencia, más allá de la co-ocurrencia estadística, distinguiría una convención semiótica intencional y comunicativa de una regularidad de producción no comunicativa (p.ej. determinada por disponibilidad de materiales teñidos, prácticas de taller, o restricciones técnicas de hilado)?</w:t>
      </w:r>
    </w:p>
    <w:p>
      <w:pPr>
        <w:pStyle w:val="ListParagraph"/>
        <w:numPr>
          <w:ilvl w:val="0"/>
          <w:numId w:val="1"/>
        </w:numPr>
        <w:spacing w:after="90"/>
      </w:pPr>
      <w:r>
        <w:rPr>
          <w:rFonts w:ascii="Calibri" w:cs="Calibri" w:eastAsia="Calibri" w:hAnsi="Calibri"/>
          <w:b/>
          <w:bCs/>
          <w:sz w:val="22"/>
          <w:szCs w:val="22"/>
        </w:rPr>
        <w:t xml:space="preserve">14. </w:t>
      </w:r>
      <w:r>
        <w:rPr>
          <w:rFonts w:ascii="Calibri" w:cs="Calibri" w:eastAsia="Calibri" w:hAnsi="Calibri"/>
          <w:sz w:val="22"/>
          <w:szCs w:val="22"/>
        </w:rPr>
        <w:t xml:space="preserve">El paper concluye llamando al khipu “a sophisticated writing system akin to other linguistic media”. ¿Este paper específico aporta evidencia nueva suficiente para esa afirmación, o la hereda sin reexaminarla del propio trabajo de tesis doctoral del autor (2019)? ¿Cambia esto cómo deberíamos leer la Conclusión?</w:t>
      </w:r>
    </w:p>
    <w:p>
      <w:pPr>
        <w:pStyle w:val="ListParagraph"/>
        <w:numPr>
          <w:ilvl w:val="0"/>
          <w:numId w:val="1"/>
        </w:numPr>
        <w:spacing w:after="90"/>
      </w:pPr>
      <w:r>
        <w:rPr>
          <w:rFonts w:ascii="Calibri" w:cs="Calibri" w:eastAsia="Calibri" w:hAnsi="Calibri"/>
          <w:b/>
          <w:bCs/>
          <w:sz w:val="22"/>
          <w:szCs w:val="22"/>
        </w:rPr>
        <w:t xml:space="preserve">15. </w:t>
      </w:r>
      <w:r>
        <w:rPr>
          <w:rFonts w:ascii="Calibri" w:cs="Calibri" w:eastAsia="Calibri" w:hAnsi="Calibri"/>
          <w:sz w:val="22"/>
          <w:szCs w:val="22"/>
        </w:rPr>
        <w:t xml:space="preserve">Si aceptamos que este estudio es una herramienta exploratoria valiosa para generar hipótesis, pero no (todavía) una prueba concluyente de significado histórico específico, ¿qué cambiaría en el diseño de un estudio de seguimiento que sí pudiera hacer esa segunda afirmación con mayor solidez?</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Evaluación Crítica — Colorful Insights (Clindaniel 2024) — 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20" w:before="440"/>
    </w:pPr>
    <w:rPr>
      <w:rFonts w:ascii="Calibri" w:cs="Calibri" w:eastAsia="Calibri" w:hAnsi="Calibri"/>
      <w:b/>
      <w:bCs/>
      <w:color w:val="7A1F1F"/>
      <w:sz w:val="30"/>
      <w:szCs w:val="30"/>
    </w:rPr>
  </w:style>
  <w:style w:type="paragraph" w:styleId="Heading2">
    <w:name w:val="Heading 2"/>
    <w:basedOn w:val="Normal"/>
    <w:next w:val="Normal"/>
    <w:qFormat/>
    <w:pPr>
      <w:keepNext/>
      <w:spacing w:after="150" w:before="320"/>
    </w:pPr>
    <w:rPr>
      <w:rFonts w:ascii="Calibri" w:cs="Calibri" w:eastAsia="Calibri" w:hAnsi="Calibri"/>
      <w:b/>
      <w:bCs/>
      <w:color w:val="8B2E2E"/>
      <w:sz w:val="25"/>
      <w:szCs w:val="25"/>
    </w:rPr>
  </w:style>
  <w:style w:type="paragraph" w:styleId="Heading3">
    <w:name w:val="Heading 3"/>
    <w:basedOn w:val="Normal"/>
    <w:next w:val="Normal"/>
    <w:qFormat/>
    <w:pPr>
      <w:keepNext/>
      <w:spacing w:after="110" w:before="220"/>
    </w:pPr>
    <w:rPr>
      <w:rFonts w:ascii="Calibri" w:cs="Calibri" w:eastAsia="Calibri" w:hAnsi="Calibri"/>
      <w:b/>
      <w:bCs/>
      <w:color w:val="555555"/>
      <w:sz w:val="22"/>
      <w:szCs w:val="22"/>
    </w:rPr>
  </w:style>
  <w:style w:type="paragraph" w:styleId="Heading4">
    <w:name w:val="Heading 4"/>
    <w:basedOn w:val="Normal"/>
    <w:next w:val="Normal"/>
    <w:qFormat/>
    <w:pPr>
      <w:keepNext/>
      <w:spacing w:after="100" w:before="200"/>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2026-08-12T23:45:02.304Z</dcterms:created>
  <dcterms:modified xsi:type="dcterms:W3CDTF">2026-08-12T23:45:02.307Z</dcterms:modified>
</cp:coreProperties>
</file>

<file path=docProps/custom.xml><?xml version="1.0" encoding="utf-8"?>
<Properties xmlns="http://schemas.openxmlformats.org/officeDocument/2006/custom-properties" xmlns:vt="http://schemas.openxmlformats.org/officeDocument/2006/docPropsVTypes"/>
</file>