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rFonts w:ascii="Calibri" w:cs="Calibri" w:eastAsia="Calibri" w:hAnsi="Calibri"/>
          <w:b/>
          <w:bCs/>
          <w:sz w:val="44"/>
          <w:szCs w:val="44"/>
        </w:rPr>
        <w:t xml:space="preserve">Revisión Bibliográfica Integral sobre Quipus</w:t>
      </w:r>
    </w:p>
    <w:p>
      <w:pPr>
        <w:spacing w:after="800"/>
        <w:jc w:val="center"/>
      </w:pPr>
      <w:r>
        <w:rPr>
          <w:rFonts w:ascii="Calibri" w:cs="Calibri" w:eastAsia="Calibri" w:hAnsi="Calibri"/>
          <w:i/>
          <w:iCs/>
          <w:color w:val="444444"/>
          <w:sz w:val="26"/>
          <w:szCs w:val="26"/>
        </w:rPr>
        <w:t xml:space="preserve">Síntesis transversal del corpus documental en Bibliografía Quipus/</w:t>
      </w:r>
    </w:p>
    <w:p>
      <w:pPr>
        <w:spacing w:after="120"/>
        <w:jc w:val="center"/>
      </w:pPr>
      <w:r>
        <w:rPr>
          <w:rFonts w:ascii="Calibri" w:cs="Calibri" w:eastAsia="Calibri" w:hAnsi="Calibri"/>
          <w:color w:val="666666"/>
          <w:sz w:val="22"/>
          <w:szCs w:val="22"/>
        </w:rPr>
        <w:t xml:space="preserve">Documento vivo — versión 1</w:t>
      </w:r>
    </w:p>
    <w:p>
      <w:pPr>
        <w:spacing w:after="120"/>
        <w:jc w:val="center"/>
      </w:pPr>
      <w:r>
        <w:rPr>
          <w:rFonts w:ascii="Calibri" w:cs="Calibri" w:eastAsia="Calibri" w:hAnsi="Calibri"/>
          <w:color w:val="666666"/>
          <w:sz w:val="22"/>
          <w:szCs w:val="22"/>
        </w:rPr>
        <w:t xml:space="preserve">Preparado para el proyecto open-khipu-repository</w:t>
      </w:r>
    </w:p>
    <w:p>
      <w:pPr>
        <w:spacing w:after="2000"/>
        <w:jc w:val="center"/>
      </w:pPr>
      <w:r>
        <w:rPr>
          <w:rFonts w:ascii="Calibri" w:cs="Calibri" w:eastAsia="Calibri" w:hAnsi="Calibri"/>
          <w:color w:val="666666"/>
          <w:sz w:val="22"/>
          <w:szCs w:val="22"/>
        </w:rPr>
        <w:t xml:space="preserve">Fecha de esta versión: 11 de agosto de 2026</w:t>
      </w:r>
    </w:p>
    <w:p>
      <w:pPr>
        <w:spacing w:after="80"/>
        <w:jc w:val="center"/>
      </w:pPr>
      <w:r>
        <w:rPr>
          <w:rFonts w:ascii="Calibri" w:cs="Calibri" w:eastAsia="Calibri" w:hAnsi="Calibri"/>
          <w:color w:val="888888"/>
          <w:sz w:val="20"/>
          <w:szCs w:val="20"/>
        </w:rPr>
        <w:t xml:space="preserve">Corpus analizado: 8 documentos PDF de la carpeta “Bibliografía Quipus”</w:t>
      </w:r>
    </w:p>
    <w:p>
      <w:pPr>
        <w:spacing w:after="80"/>
        <w:jc w:val="center"/>
      </w:pPr>
      <w:r>
        <w:rPr>
          <w:rFonts w:ascii="Calibri" w:cs="Calibri" w:eastAsia="Calibri" w:hAnsi="Calibri"/>
          <w:color w:val="888888"/>
          <w:sz w:val="20"/>
          <w:szCs w:val="20"/>
        </w:rPr>
        <w:t xml:space="preserve">Análisis priorizado en profundidad: Jon Clindaniel, “Colorful Insights from an AI Khipukamayuq” (2024)</w:t>
      </w:r>
    </w:p>
    <w:p>
      <w:pPr>
        <w:pStyle w:val="Heading1"/>
        <w:spacing w:after="240" w:before="480"/>
      </w:pPr>
      <w:r>
        <w:t xml:space="preserve">Índice</w:t>
      </w:r>
    </w:p>
    <w:p>
      <w:pPr>
        <w:spacing w:after="100"/>
      </w:pPr>
      <w:r>
        <w:rPr>
          <w:rFonts w:ascii="Calibri" w:cs="Calibri" w:eastAsia="Calibri" w:hAnsi="Calibri"/>
          <w:sz w:val="22"/>
          <w:szCs w:val="22"/>
        </w:rPr>
        <w:t xml:space="preserve">1. Introducción</w:t>
      </w:r>
    </w:p>
    <w:p>
      <w:pPr>
        <w:spacing w:after="100"/>
      </w:pPr>
      <w:r>
        <w:rPr>
          <w:rFonts w:ascii="Calibri" w:cs="Calibri" w:eastAsia="Calibri" w:hAnsi="Calibri"/>
          <w:sz w:val="22"/>
          <w:szCs w:val="22"/>
        </w:rPr>
        <w:t xml:space="preserve">2. Panorama general de la investigación sobre quipus</w:t>
      </w:r>
    </w:p>
    <w:p>
      <w:pPr>
        <w:spacing w:after="100"/>
      </w:pPr>
      <w:r>
        <w:rPr>
          <w:rFonts w:ascii="Calibri" w:cs="Calibri" w:eastAsia="Calibri" w:hAnsi="Calibri"/>
          <w:sz w:val="22"/>
          <w:szCs w:val="22"/>
        </w:rPr>
        <w:t xml:space="preserve">3. Conceptos fundamentales sobre los quipus</w:t>
      </w:r>
    </w:p>
    <w:p>
      <w:pPr>
        <w:spacing w:after="100"/>
      </w:pPr>
      <w:r>
        <w:rPr>
          <w:rFonts w:ascii="Calibri" w:cs="Calibri" w:eastAsia="Calibri" w:hAnsi="Calibri"/>
          <w:sz w:val="22"/>
          <w:szCs w:val="22"/>
        </w:rPr>
        <w:t xml:space="preserve">4. Principales líneas de investigación</w:t>
      </w:r>
    </w:p>
    <w:p>
      <w:pPr>
        <w:spacing w:after="100"/>
      </w:pPr>
      <w:r>
        <w:rPr>
          <w:rFonts w:ascii="Calibri" w:cs="Calibri" w:eastAsia="Calibri" w:hAnsi="Calibri"/>
          <w:sz w:val="22"/>
          <w:szCs w:val="22"/>
        </w:rPr>
        <w:t xml:space="preserve">5. Metodologías utilizadas</w:t>
      </w:r>
    </w:p>
    <w:p>
      <w:pPr>
        <w:spacing w:after="100"/>
      </w:pPr>
      <w:r>
        <w:rPr>
          <w:rFonts w:ascii="Calibri" w:cs="Calibri" w:eastAsia="Calibri" w:hAnsi="Calibri"/>
          <w:sz w:val="22"/>
          <w:szCs w:val="22"/>
        </w:rPr>
        <w:t xml:space="preserve">6. Hallazgos y conocimientos consolidados</w:t>
      </w:r>
    </w:p>
    <w:p>
      <w:pPr>
        <w:spacing w:after="100"/>
      </w:pPr>
      <w:r>
        <w:rPr>
          <w:rFonts w:ascii="Calibri" w:cs="Calibri" w:eastAsia="Calibri" w:hAnsi="Calibri"/>
          <w:sz w:val="22"/>
          <w:szCs w:val="22"/>
        </w:rPr>
        <w:t xml:space="preserve">7. Debates, contradicciones y preguntas abiertas</w:t>
      </w:r>
    </w:p>
    <w:p>
      <w:pPr>
        <w:spacing w:after="100"/>
      </w:pPr>
      <w:r>
        <w:rPr>
          <w:rFonts w:ascii="Calibri" w:cs="Calibri" w:eastAsia="Calibri" w:hAnsi="Calibri"/>
          <w:sz w:val="22"/>
          <w:szCs w:val="22"/>
        </w:rPr>
        <w:t xml:space="preserve">8. Análisis profundo: “Colorful Insights from an AI Khipukamayuq” (Clindaniel, 2024)</w:t>
      </w:r>
    </w:p>
    <w:p>
      <w:pPr>
        <w:spacing w:after="100"/>
      </w:pPr>
      <w:r>
        <w:rPr>
          <w:rFonts w:ascii="Calibri" w:cs="Calibri" w:eastAsia="Calibri" w:hAnsi="Calibri"/>
          <w:sz w:val="22"/>
          <w:szCs w:val="22"/>
        </w:rPr>
        <w:t xml:space="preserve">9. Comparación entre las fuentes (tabla maestra)</w:t>
      </w:r>
    </w:p>
    <w:p>
      <w:pPr>
        <w:spacing w:after="100"/>
      </w:pPr>
      <w:r>
        <w:rPr>
          <w:rFonts w:ascii="Calibri" w:cs="Calibri" w:eastAsia="Calibri" w:hAnsi="Calibri"/>
          <w:sz w:val="22"/>
          <w:szCs w:val="22"/>
        </w:rPr>
        <w:t xml:space="preserve">10. Síntesis global</w:t>
      </w:r>
    </w:p>
    <w:p>
      <w:pPr>
        <w:spacing w:after="100"/>
      </w:pPr>
      <w:r>
        <w:rPr>
          <w:rFonts w:ascii="Calibri" w:cs="Calibri" w:eastAsia="Calibri" w:hAnsi="Calibri"/>
          <w:sz w:val="22"/>
          <w:szCs w:val="22"/>
        </w:rPr>
        <w:t xml:space="preserve">11. Oportunidades de investigación</w:t>
      </w:r>
    </w:p>
    <w:p>
      <w:pPr>
        <w:spacing w:after="100"/>
      </w:pPr>
      <w:r>
        <w:rPr>
          <w:rFonts w:ascii="Calibri" w:cs="Calibri" w:eastAsia="Calibri" w:hAnsi="Calibri"/>
          <w:sz w:val="22"/>
          <w:szCs w:val="22"/>
        </w:rPr>
        <w:t xml:space="preserve">12. Posibles conexiones con un proyecto de investigación futuro</w:t>
      </w:r>
    </w:p>
    <w:p>
      <w:pPr>
        <w:spacing w:after="100"/>
      </w:pPr>
      <w:r>
        <w:rPr>
          <w:rFonts w:ascii="Calibri" w:cs="Calibri" w:eastAsia="Calibri" w:hAnsi="Calibri"/>
          <w:sz w:val="22"/>
          <w:szCs w:val="22"/>
        </w:rPr>
        <w:t xml:space="preserve">13. Bibliografía</w:t>
      </w:r>
    </w:p>
    <w:p>
      <w:pPr>
        <w:spacing w:after="100"/>
      </w:pPr>
      <w:r>
        <w:rPr>
          <w:rFonts w:ascii="Calibri" w:cs="Calibri" w:eastAsia="Calibri" w:hAnsi="Calibri"/>
          <w:sz w:val="22"/>
          <w:szCs w:val="22"/>
        </w:rPr>
        <w:t xml:space="preserve">14. Registro de actualizaciones bibliográficas</w:t>
      </w:r>
    </w:p>
    <w:p>
      <w:pPr>
        <w:pStyle w:val="Heading1"/>
        <w:pageBreakBefore/>
        <w:spacing w:after="240" w:before="480"/>
      </w:pPr>
      <w:r>
        <w:t xml:space="preserve">1. Introducción</w:t>
      </w:r>
    </w:p>
    <w:p>
      <w:pPr>
        <w:pStyle w:val="Heading2"/>
        <w:spacing w:after="160" w:before="340"/>
      </w:pPr>
      <w:r>
        <w:t xml:space="preserve">1.1 Propósito de la revisión</w:t>
      </w:r>
    </w:p>
    <w:p>
      <w:pPr>
        <w:spacing w:after="160"/>
        <w:jc w:val="both"/>
      </w:pPr>
      <w:r>
        <w:rPr>
          <w:rFonts w:ascii="Calibri" w:cs="Calibri" w:eastAsia="Calibri" w:hAnsi="Calibri"/>
          <w:sz w:val="22"/>
          <w:szCs w:val="22"/>
        </w:rPr>
        <w:t xml:space="preserve">Este documento presenta una revisión bibliográfica integral y estructurada del corpus documental sobre quipus (khipus) andinos disponible en la carpeta “Bibliografía Quipus” del proyecto open-khipu-repository. A diferencia de una recopilación de resúmenes independientes, el propósito central es identificar conocimiento transversal: patrones que se repiten entre fuentes, consensos y desacuerdos entre investigadores, la evolución de los métodos empleados para estudiar los quipus, y oportunidades de investigación futura, con especial atención a posibles aplicaciones de inteligencia artificial y ciencia de datos.</w:t>
      </w:r>
    </w:p>
    <w:p>
      <w:pPr>
        <w:spacing w:after="160"/>
        <w:jc w:val="both"/>
      </w:pPr>
      <w:r>
        <w:rPr>
          <w:rFonts w:ascii="Calibri" w:cs="Calibri" w:eastAsia="Calibri" w:hAnsi="Calibri"/>
          <w:sz w:val="22"/>
          <w:szCs w:val="22"/>
        </w:rPr>
        <w:t xml:space="preserve">Los resúmenes de cada fuente individual existen como apoyo (integrados dentro de las secciones temáticas y, con mayor detalle, en la sección 8 dedicada al documento prioritario), pero el valor principal de este documento reside en la síntesis transversal de las secciones 2, 4 a 7, 9, 10 y 11.</w:t>
      </w:r>
    </w:p>
    <w:p>
      <w:pPr>
        <w:pStyle w:val="Heading2"/>
        <w:spacing w:after="160" w:before="340"/>
      </w:pPr>
      <w:r>
        <w:t xml:space="preserve">1.2 Corpus bibliográfico analizado</w:t>
      </w:r>
    </w:p>
    <w:p>
      <w:pPr>
        <w:spacing w:after="160"/>
        <w:jc w:val="both"/>
      </w:pPr>
      <w:r>
        <w:rPr>
          <w:rFonts w:ascii="Calibri" w:cs="Calibri" w:eastAsia="Calibri" w:hAnsi="Calibri"/>
          <w:sz w:val="22"/>
          <w:szCs w:val="22"/>
        </w:rPr>
        <w:t xml:space="preserve">Se analizaron los 8 archivos PDF presentes en la carpeta “Bibliografía Quipus” al momento de esta primera versión:</w:t>
      </w:r>
    </w:p>
    <w:p>
      <w:pPr>
        <w:pStyle w:val="ListParagraph"/>
        <w:numPr>
          <w:ilvl w:val="0"/>
          <w:numId w:val="1"/>
        </w:numPr>
        <w:spacing w:after="90"/>
      </w:pPr>
      <w:r>
        <w:rPr>
          <w:rFonts w:ascii="Calibri" w:cs="Calibri" w:eastAsia="Calibri" w:hAnsi="Calibri"/>
          <w:sz w:val="22"/>
          <w:szCs w:val="22"/>
        </w:rPr>
        <w:t xml:space="preserve">47664_1_QUIPUS-BIBLIOGRAFIA.pdf — bibliografía del libro de Manuel Medrano (2021), Quipus: Mil años de historia anudada en los Andes y su futuro digital.</w:t>
      </w:r>
    </w:p>
    <w:p>
      <w:pPr>
        <w:pStyle w:val="ListParagraph"/>
        <w:numPr>
          <w:ilvl w:val="0"/>
          <w:numId w:val="1"/>
        </w:numPr>
        <w:spacing w:after="90"/>
      </w:pPr>
      <w:r>
        <w:rPr>
          <w:rFonts w:ascii="Calibri" w:cs="Calibri" w:eastAsia="Calibri" w:hAnsi="Calibri"/>
          <w:sz w:val="22"/>
          <w:szCs w:val="22"/>
        </w:rPr>
        <w:t xml:space="preserve">47665_1_QUIPUS-ANEXOS.pdf — anexo del mismo libro: inventario global de quipus en museos y colecciones privadas.</w:t>
      </w:r>
    </w:p>
    <w:p>
      <w:pPr>
        <w:pStyle w:val="ListParagraph"/>
        <w:numPr>
          <w:ilvl w:val="0"/>
          <w:numId w:val="1"/>
        </w:numPr>
        <w:spacing w:after="90"/>
      </w:pPr>
      <w:r>
        <w:rPr>
          <w:rFonts w:ascii="Calibri" w:cs="Calibri" w:eastAsia="Calibri" w:hAnsi="Calibri"/>
          <w:sz w:val="22"/>
          <w:szCs w:val="22"/>
        </w:rPr>
        <w:t xml:space="preserve">Basel Khipu Report_Excerpted.pdf — extracto de un informe técnico de Manuel Medrano sobre khipus en los museos de Basilea y Detmold, con las convenciones de codificación tabular de datos de khipu (KDB).</w:t>
      </w:r>
    </w:p>
    <w:p>
      <w:pPr>
        <w:pStyle w:val="ListParagraph"/>
        <w:numPr>
          <w:ilvl w:val="0"/>
          <w:numId w:val="1"/>
        </w:numPr>
        <w:spacing w:after="90"/>
      </w:pPr>
      <w:r>
        <w:rPr>
          <w:rFonts w:ascii="Calibri" w:cs="Calibri" w:eastAsia="Calibri" w:hAnsi="Calibri"/>
          <w:sz w:val="22"/>
          <w:szCs w:val="22"/>
        </w:rPr>
        <w:t xml:space="preserve">Brezine_et_al_2024_KhipuNaming.pdf — Brezine, Clindaniel, Ghezzi, Hyland y Medrano (2024), “A New Naming Convention for Andean Khipus”, Latin American Antiquity.</w:t>
      </w:r>
    </w:p>
    <w:p>
      <w:pPr>
        <w:pStyle w:val="ListParagraph"/>
        <w:numPr>
          <w:ilvl w:val="0"/>
          <w:numId w:val="1"/>
        </w:numPr>
        <w:spacing w:after="90"/>
      </w:pPr>
      <w:r>
        <w:rPr>
          <w:rFonts w:ascii="Calibri" w:cs="Calibri" w:eastAsia="Calibri" w:hAnsi="Calibri"/>
          <w:sz w:val="22"/>
          <w:szCs w:val="22"/>
        </w:rPr>
        <w:t xml:space="preserve">CLINDANIEL-DISSERTATION-2019.pdf — Jon Clindaniel (2019), “Toward a Grammar of the Inka Khipu: Investigating the Production of Non-numerical Signs”, tesis doctoral, Harvard University.</w:t>
      </w:r>
    </w:p>
    <w:p>
      <w:pPr>
        <w:pStyle w:val="ListParagraph"/>
        <w:numPr>
          <w:ilvl w:val="0"/>
          <w:numId w:val="1"/>
        </w:numPr>
        <w:spacing w:after="90"/>
      </w:pPr>
      <w:r>
        <w:rPr>
          <w:rFonts w:ascii="Calibri" w:cs="Calibri" w:eastAsia="Calibri" w:hAnsi="Calibri"/>
          <w:sz w:val="22"/>
          <w:szCs w:val="22"/>
        </w:rPr>
        <w:t xml:space="preserve">Medrano 2021 - Quipus.pdf — texto completo del libro de Manuel Medrano (2021), incluyendo su anexo y bibliografía embebidos.</w:t>
      </w:r>
    </w:p>
    <w:p>
      <w:pPr>
        <w:pStyle w:val="ListParagraph"/>
        <w:numPr>
          <w:ilvl w:val="0"/>
          <w:numId w:val="1"/>
        </w:numPr>
        <w:spacing w:after="90"/>
      </w:pPr>
      <w:r>
        <w:rPr>
          <w:rFonts w:ascii="Calibri" w:cs="Calibri" w:eastAsia="Calibri" w:hAnsi="Calibri"/>
          <w:sz w:val="22"/>
          <w:szCs w:val="22"/>
        </w:rPr>
        <w:t xml:space="preserve">Medrano_Khosla_2024_KhipusDataScience.pdf — Medrano y Khosla (2024), “How Can Data Science Contribute to Understanding the Khipu Code?”, Latin American Antiquity.</w:t>
      </w:r>
    </w:p>
    <w:p>
      <w:pPr>
        <w:pStyle w:val="ListParagraph"/>
        <w:numPr>
          <w:ilvl w:val="0"/>
          <w:numId w:val="1"/>
        </w:numPr>
        <w:spacing w:after="90"/>
      </w:pPr>
      <w:r>
        <w:rPr>
          <w:rFonts w:ascii="Calibri" w:cs="Calibri" w:eastAsia="Calibri" w:hAnsi="Calibri"/>
          <w:sz w:val="22"/>
          <w:szCs w:val="22"/>
        </w:rPr>
        <w:t xml:space="preserve">colorful-insights-20-May-2024.pdf — Jon Clindaniel (2024), “Colorful Insights from an AI Khipukamayuq” — fuente prioritaria de esta revisión.</w:t>
      </w:r>
    </w:p>
    <w:p>
      <w:pPr>
        <w:spacing w:after="160"/>
        <w:jc w:val="both"/>
      </w:pPr>
      <w:r>
        <w:rPr>
          <w:rFonts w:ascii="Calibri" w:cs="Calibri" w:eastAsia="Calibri" w:hAnsi="Calibri"/>
          <w:sz w:val="22"/>
          <w:szCs w:val="22"/>
        </w:rPr>
        <w:t xml:space="preserve">Nota sobre duplicidad de contenido: se verificó que 47664_1_QUIPUS-BIBLIOGRAFIA.pdf y 47665_1_QUIPUS-ANEXOS.pdf son extractos ya contenidos íntegramente dentro de Medrano 2021 - Quipus.pdf (la bibliografía y el anexo del propio libro, distribuidos también como archivos independientes). Se cuentan y describen como 8 archivos según lo solicitado, pero se tratan analíticamente como 6 fuentes documentales distintas (agrupando los tres archivos de Medrano 2021 en una sola fuente) para evitar duplicar contenido en la síntesis.</w:t>
      </w:r>
    </w:p>
    <w:p>
      <w:pPr>
        <w:pStyle w:val="Heading2"/>
        <w:spacing w:after="160" w:before="340"/>
      </w:pPr>
      <w:r>
        <w:t xml:space="preserve">1.3 Alcance</w:t>
      </w:r>
    </w:p>
    <w:p>
      <w:pPr>
        <w:spacing w:after="160"/>
        <w:jc w:val="both"/>
      </w:pPr>
      <w:r>
        <w:rPr>
          <w:rFonts w:ascii="Calibri" w:cs="Calibri" w:eastAsia="Calibri" w:hAnsi="Calibri"/>
          <w:sz w:val="22"/>
          <w:szCs w:val="22"/>
        </w:rPr>
        <w:t xml:space="preserve">El alcance de esta revisión se limita estrictamente al contenido verificable de los 8 PDFs analizados y, cuando resulta relevante para contextualizar una afirmación, a las fuentes que esos documentos citan explícitamente (por ejemplo, Ascher y Ascher 1978, Urton 2003, Hyland 2016). No se incorporó bibliografía externa no citada dentro del corpus ni se verificaron independientemente las citas de segunda mano. Todos los documentos se leyeron de forma íntegra (no solo resúmenes, abstracts o introducciones): el texto completo se extrajo de cada PDF y se procesó en su totalidad, incluyendo, en el caso de la disertación de Clindaniel (2019), sus seis capítulos completos, referencias y apéndice de código.</w:t>
      </w:r>
    </w:p>
    <w:p>
      <w:pPr>
        <w:pStyle w:val="Heading2"/>
        <w:spacing w:after="160" w:before="340"/>
      </w:pPr>
      <w:r>
        <w:t xml:space="preserve">1.4 Criterios utilizados</w:t>
      </w:r>
    </w:p>
    <w:p>
      <w:pPr>
        <w:pStyle w:val="ListParagraph"/>
        <w:numPr>
          <w:ilvl w:val="0"/>
          <w:numId w:val="1"/>
        </w:numPr>
        <w:spacing w:after="90"/>
      </w:pPr>
      <w:r>
        <w:rPr>
          <w:rFonts w:ascii="Calibri" w:cs="Calibri" w:eastAsia="Calibri" w:hAnsi="Calibri"/>
          <w:sz w:val="22"/>
          <w:szCs w:val="22"/>
        </w:rPr>
        <w:t xml:space="preserve">Cada afirmación relevante se vincula a una fuente y, cuando es posible, a la página original del PDF.</w:t>
      </w:r>
    </w:p>
    <w:p>
      <w:pPr>
        <w:pStyle w:val="ListParagraph"/>
        <w:numPr>
          <w:ilvl w:val="0"/>
          <w:numId w:val="1"/>
        </w:numPr>
        <w:spacing w:after="90"/>
      </w:pPr>
      <w:r>
        <w:rPr>
          <w:rFonts w:ascii="Calibri" w:cs="Calibri" w:eastAsia="Calibri" w:hAnsi="Calibri"/>
          <w:sz w:val="22"/>
          <w:szCs w:val="22"/>
        </w:rPr>
        <w:t xml:space="preserve">Se distingue explícitamente entre Hallazgo (evidencia/dato), Interpretación del autor, Hipótesis, Limitación e Inferencia derivada de la comparación bibliográfica (esta última, hecha por el equipo que preparó esta revisión al cruzar dos o más fuentes, se señala siempre como tal).</w:t>
      </w:r>
    </w:p>
    <w:p>
      <w:pPr>
        <w:pStyle w:val="ListParagraph"/>
        <w:numPr>
          <w:ilvl w:val="0"/>
          <w:numId w:val="1"/>
        </w:numPr>
        <w:spacing w:after="90"/>
      </w:pPr>
      <w:r>
        <w:rPr>
          <w:rFonts w:ascii="Calibri" w:cs="Calibri" w:eastAsia="Calibri" w:hAnsi="Calibri"/>
          <w:sz w:val="22"/>
          <w:szCs w:val="22"/>
        </w:rPr>
        <w:t xml:space="preserve">Cuando no se dispone de un dato en la fuente analizada, se indica explícitamente “No especificado en la fuente analizada”, en lugar de inferirlo o completarlo.</w:t>
      </w:r>
    </w:p>
    <w:p>
      <w:pPr>
        <w:pStyle w:val="ListParagraph"/>
        <w:numPr>
          <w:ilvl w:val="0"/>
          <w:numId w:val="1"/>
        </w:numPr>
        <w:spacing w:after="90"/>
      </w:pPr>
      <w:r>
        <w:rPr>
          <w:rFonts w:ascii="Calibri" w:cs="Calibri" w:eastAsia="Calibri" w:hAnsi="Calibri"/>
          <w:sz w:val="22"/>
          <w:szCs w:val="22"/>
        </w:rPr>
        <w:t xml:space="preserve">El documento “Colorful Insights from an AI Khipukamayuq” (Clindaniel, 2024) recibió un análisis significativamente más profundo, según lo solicitado, documentado en la sección 8.</w:t>
      </w:r>
    </w:p>
    <w:p>
      <w:pPr>
        <w:pStyle w:val="Heading2"/>
        <w:spacing w:after="160" w:before="340"/>
      </w:pPr>
      <w:r>
        <w:t xml:space="preserve">1.5 Enfoque transversal</w:t>
      </w:r>
    </w:p>
    <w:p>
      <w:pPr>
        <w:spacing w:after="160"/>
        <w:jc w:val="both"/>
      </w:pPr>
      <w:r>
        <w:rPr>
          <w:rFonts w:ascii="Calibri" w:cs="Calibri" w:eastAsia="Calibri" w:hAnsi="Calibri"/>
          <w:sz w:val="22"/>
          <w:szCs w:val="22"/>
        </w:rPr>
        <w:t xml:space="preserve">Las secciones 2 a 7 y 9 a 11 organizan la información por tema y no por documento: agrupan lo que dicen múltiples fuentes sobre un mismo concepto, método o debate, y señalan explícitamente cuándo una afirmación proviene de una sola fuente frente a cuándo está respaldada por varias líneas de evidencia independientes. Este enfoque revela, por ejemplo, que la comunidad de investigación sobre quipus representada en este corpus es una red relativamente pequeña y densamente interconectada de autores que se citan, colaboran y a veces se corrigen mutuamente a lo largo de tres generaciones académicas (Ascher → Urton/Brezine → Medrano/Clindaniel/Hyland/Ghezzi), un patrón que se documenta con detalle en la sección 2.</w:t>
      </w:r>
    </w:p>
    <w:p>
      <w:pPr>
        <w:pStyle w:val="Heading1"/>
        <w:pageBreakBefore/>
        <w:spacing w:after="240" w:before="480"/>
      </w:pPr>
      <w:r>
        <w:t xml:space="preserve">2. Panorama general de la investigación sobre quipus</w:t>
      </w:r>
    </w:p>
    <w:p>
      <w:pPr>
        <w:spacing w:after="160"/>
        <w:jc w:val="both"/>
      </w:pPr>
      <w:r>
        <w:rPr>
          <w:rFonts w:ascii="Calibri" w:cs="Calibri" w:eastAsia="Calibri" w:hAnsi="Calibri"/>
          <w:sz w:val="22"/>
          <w:szCs w:val="22"/>
        </w:rPr>
        <w:t xml:space="preserve">Antes de entrar en el detalle temático (secciones 3 a 7), conviene señalar cuatro rasgos que caracterizan al conjunto del corpus analizado en su totalidad, y que se repiten en prácticamente todas las fuentes.</w:t>
      </w:r>
    </w:p>
    <w:p>
      <w:pPr>
        <w:pStyle w:val="Heading2"/>
        <w:spacing w:after="160" w:before="340"/>
      </w:pPr>
      <w:r>
        <w:t xml:space="preserve">2.1 Una red de investigación pequeña y densamente interconectada</w:t>
      </w:r>
    </w:p>
    <w:p>
      <w:pPr>
        <w:spacing w:after="160"/>
        <w:jc w:val="both"/>
      </w:pPr>
      <w:r>
        <w:rPr>
          <w:rFonts w:ascii="Calibri" w:cs="Calibri" w:eastAsia="Calibri" w:hAnsi="Calibri"/>
          <w:sz w:val="22"/>
          <w:szCs w:val="22"/>
        </w:rPr>
        <w:t xml:space="preserve">Los 8 documentos analizados no son estudios independientes: son producto de una comunidad académica reducida y estrechamente vinculada, que comparte datos, coautorías y, en varios casos, relaciones de mentoría directa. Gary Urton fue asesor de la disertación doctoral de Jon Clindaniel (Clindaniel 2019, p.4) y también dirigió, con Carrie Brezine, gran parte de la construcción de la Harvard Khipu Database (KDB), la base de datos que subyace a casi todos los análisis cuantitativos del corpus (Clindaniel 2019, p.34-35; Brezine et al. 2024, p.5). Sabine Hyland fue miembro del comité de la disertación de Clindaniel y aportó los estudios etnográficos de banding/seriación (Anchucaya) y dirección de nudo (Cutusuma, Mangas) que Clindaniel somete a prueba cuantitativa en su tesis (Clindaniel 2019, p.ix, 14-24). Manuel Medrano leyó y comentó un borrador temprano de esa misma disertación (Clindaniel 2019, p.x) y, a su vez, coautoría dos papers de 2024 —uno junto a Clindaniel, Ghezzi y Hyland sobre nomenclatura (Brezine et al. 2024), y otro junto a Ashok Khosla sobre ciencia de datos (Medrano y Khosla 2024)—. Todos ellos, junto con Jeffrey Splitstoser, integran el consejo asesor (“Advisory Board”) del Open Khipu Repository (OKR) (Clindaniel 2024, p.6; Brezine et al. 2024, p.2).</w:t>
      </w:r>
    </w:p>
    <w:p>
      <w:pPr>
        <w:spacing w:after="160"/>
        <w:jc w:val="both"/>
      </w:pPr>
      <w:r>
        <w:rPr>
          <w:rFonts w:ascii="Calibri" w:cs="Calibri" w:eastAsia="Calibri" w:hAnsi="Calibri"/>
          <w:sz w:val="22"/>
          <w:szCs w:val="22"/>
        </w:rPr>
        <w:t xml:space="preserve">Esta estructura de red tiene una consecuencia metodológica directa para esta revisión: casi ninguna fuente puede leerse de forma aislada. Los hallazgos de un documento son, con frecuencia, el punto de partida explícito de otro (por ejemplo, el análisis de color de Clindaniel 2024 escala computacionalmente el trabajo de su propia disertación de 2019; Medrano y Khosla 2024 revisan una interpretación específica de esa misma disertación; véase la sección 7).</w:t>
      </w:r>
    </w:p>
    <w:p>
      <w:pPr>
        <w:pStyle w:val="Heading2"/>
        <w:spacing w:after="160" w:before="340"/>
      </w:pPr>
      <w:r>
        <w:t xml:space="preserve">2.2 Un desciframiento parcial: lo numérico resuelto, lo no numérico en curso</w:t>
      </w:r>
    </w:p>
    <w:p>
      <w:pPr>
        <w:spacing w:after="160"/>
        <w:jc w:val="both"/>
      </w:pPr>
      <w:r>
        <w:rPr>
          <w:rFonts w:ascii="Calibri" w:cs="Calibri" w:eastAsia="Calibri" w:hAnsi="Calibri"/>
          <w:sz w:val="22"/>
          <w:szCs w:val="22"/>
        </w:rPr>
        <w:t xml:space="preserve">Todas las fuentes académicas del corpus parten de un mismo punto de partida consolidado: el código numérico decimal de los quipus fue descifrado por L. Leland Locke en 1912/1923 (Medrano 2021, p.52; Clindaniel 2019, p.8-10). Sobre esa base compartida, el resto de la investigación reciente representada en este corpus —la disertación de Clindaniel (2019), el paper de Medrano y Khosla (2024), y el propio “Colorful Insights” (Clindaniel 2024)— se dedica a intentar extender el desciframiento a la información no numérica (colores, patrones, dirección de nudo) que, según los cronistas coloniales citados por casi todas las fuentes (Garcilaso de la Vega, Calancha, Murúa), también habría registrado información.</w:t>
      </w:r>
    </w:p>
    <w:p>
      <w:pPr>
        <w:pStyle w:val="Heading2"/>
        <w:spacing w:after="160" w:before="340"/>
      </w:pPr>
      <w:r>
        <w:t xml:space="preserve">2.3 De los estudios de caso a la “ciencia de datos del quipu”</w:t>
      </w:r>
    </w:p>
    <w:p>
      <w:pPr>
        <w:spacing w:after="160"/>
        <w:jc w:val="both"/>
      </w:pPr>
      <w:r>
        <w:rPr>
          <w:rFonts w:ascii="Calibri" w:cs="Calibri" w:eastAsia="Calibri" w:hAnsi="Calibri"/>
          <w:sz w:val="22"/>
          <w:szCs w:val="22"/>
        </w:rPr>
        <w:t xml:space="preserve">Un segundo eje transversal, señalado explícitamente por Medrano (2021, p.63, 121-122) con el término “macroanálisis” (tomado de Jockers 2013) y por Medrano y Khosla (2024, p.2) con el término “aggregative turn” (giro agregativo, acuñado en Medrano 2021b), es el desplazamiento metodológico desde el análisis de quipus individuales hacia el análisis computacional de corpus completos. El propio corpus documental de esta revisión ilustra ese giro: los estudios más antiguos referenciados (cronistas, Ascher de los años 1970-80) trabajan con ejemplares individuales o muestras pequeñas; los estudios de 2024 (Medrano y Khosla; Clindaniel) trabajan con 629 a 650 quipus digitalizados simultáneamente.</w:t>
      </w:r>
    </w:p>
    <w:p>
      <w:pPr>
        <w:pStyle w:val="Heading2"/>
        <w:spacing w:after="160" w:before="340"/>
      </w:pPr>
      <w:r>
        <w:t xml:space="preserve">2.4 La “era del quipu digital”</w:t>
      </w:r>
    </w:p>
    <w:p>
      <w:pPr>
        <w:spacing w:after="160"/>
        <w:jc w:val="both"/>
      </w:pPr>
      <w:r>
        <w:rPr>
          <w:rFonts w:ascii="Calibri" w:cs="Calibri" w:eastAsia="Calibri" w:hAnsi="Calibri"/>
          <w:sz w:val="22"/>
          <w:szCs w:val="22"/>
        </w:rPr>
        <w:t xml:space="preserve">El tercer eje, más prospectivo, es lo que Medrano (2021, cap. 5-6) llama explícitamente la “era del quipu digital”: la convergencia de bases de datos relacionales (KDB, luego renombrada OKR), estandarización de nomenclatura (Brezine et al. 2024) y, más recientemente, inteligencia artificial (Clindaniel 2024) como el camino que la comunidad investigadora representada en este corpus considera más prometedor para lograr nuevos avances de desciframiento —sin que ello implique, según remarcan explícitamente tanto Medrano (2021, p.138-139) como Clindaniel (2024, p.28), un reemplazo del análisis humano experto, sino un complemento a él.</w:t>
      </w:r>
    </w:p>
    <w:p>
      <w:pPr>
        <w:pStyle w:val="Heading2"/>
        <w:spacing w:after="160" w:before="340"/>
      </w:pPr>
      <w:r>
        <w:t xml:space="preserve">2.5 Temas dominantes en la literatura analizada</w:t>
      </w:r>
    </w:p>
    <w:p>
      <w:pPr>
        <w:spacing w:after="160"/>
        <w:jc w:val="both"/>
      </w:pPr>
      <w:r>
        <w:rPr>
          <w:rFonts w:ascii="Calibri" w:cs="Calibri" w:eastAsia="Calibri" w:hAnsi="Calibri"/>
          <w:sz w:val="22"/>
          <w:szCs w:val="22"/>
        </w:rPr>
        <w:t xml:space="preserve">En conjunto, la literatura de este corpus gira en torno a cinco preguntas recurrentes, retomadas en detalle en las secciones 4 a 7: (1) ¿qué tipo de información codificaban los quipus más allá de los números?; (2) ¿qué tan uniforme (“convencionalizado”) fue ese sistema de signos a través del imperio inca, y qué papel jugaron el género textual y la geografía política en esa uniformidad?; (3) ¿cómo se transforma la evidencia material de una cuerda de fibra en datos analizables?; (4) ¿cómo debe gobernarse, nombrarse y compartirse éticamente un corpus de objetos dispersos en decenas de museos de distintos países?; y (5) ¿qué puede aportar la computación —desde la estadística clásica hasta el aprendizaje profundo— que la lectura experta caso por caso no puede?</w:t>
      </w:r>
    </w:p>
    <w:p>
      <w:pPr>
        <w:pStyle w:val="Heading1"/>
        <w:pageBreakBefore/>
        <w:spacing w:after="240" w:before="480"/>
      </w:pPr>
      <w:r>
        <w:t xml:space="preserve">3. Conceptos fundamentales sobre los quipus</w:t>
      </w:r>
    </w:p>
    <w:p>
      <w:pPr>
        <w:spacing w:after="160"/>
        <w:jc w:val="both"/>
      </w:pPr>
      <w:r>
        <w:rPr>
          <w:rFonts w:ascii="Calibri" w:cs="Calibri" w:eastAsia="Calibri" w:hAnsi="Calibri"/>
          <w:sz w:val="22"/>
          <w:szCs w:val="22"/>
        </w:rPr>
        <w:t xml:space="preserve">Esta sección sintetiza, con referencia a las fuentes correspondientes, el vocabulario y los conceptos estructurales necesarios para comprender el resto de la revisión. Es la sección de referencia rápida del documento y está pensada para poder ampliarse cuando se incorporen nuevas fuentes.</w:t>
      </w:r>
    </w:p>
    <w:p>
      <w:pPr>
        <w:pStyle w:val="Heading2"/>
        <w:spacing w:after="160" w:before="340"/>
      </w:pPr>
      <w:r>
        <w:t xml:space="preserve">3.1 Definición y terminología básica</w:t>
      </w:r>
    </w:p>
    <w:p>
      <w:pPr>
        <w:pStyle w:val="ListParagraph"/>
        <w:numPr>
          <w:ilvl w:val="0"/>
          <w:numId w:val="1"/>
        </w:numPr>
        <w:spacing w:after="90"/>
      </w:pPr>
      <w:r>
        <w:rPr>
          <w:rFonts w:ascii="Calibri" w:cs="Calibri" w:eastAsia="Calibri" w:hAnsi="Calibri"/>
          <w:b/>
          <w:bCs/>
          <w:sz w:val="22"/>
          <w:szCs w:val="22"/>
        </w:rPr>
        <w:t xml:space="preserve">Quipu / khipu: </w:t>
      </w:r>
      <w:r>
        <w:rPr>
          <w:rFonts w:ascii="Calibri" w:cs="Calibri" w:eastAsia="Calibri" w:hAnsi="Calibri"/>
          <w:sz w:val="22"/>
          <w:szCs w:val="22"/>
        </w:rPr>
        <w:t xml:space="preserve">‘nudo’ en quechua; dispositivo de cordeles anudados usado en los Andes durante al menos mil años (c. 950-1950 d. C.) para registrar información numérica y, según múltiples fuentes, no numérica (Medrano 2021, p.22).</w:t>
      </w:r>
    </w:p>
    <w:p>
      <w:pPr>
        <w:pStyle w:val="ListParagraph"/>
        <w:numPr>
          <w:ilvl w:val="0"/>
          <w:numId w:val="1"/>
        </w:numPr>
        <w:spacing w:after="90"/>
      </w:pPr>
      <w:r>
        <w:rPr>
          <w:rFonts w:ascii="Calibri" w:cs="Calibri" w:eastAsia="Calibri" w:hAnsi="Calibri"/>
          <w:b/>
          <w:bCs/>
          <w:sz w:val="22"/>
          <w:szCs w:val="22"/>
        </w:rPr>
        <w:t xml:space="preserve">Khipukamayuq / quipucamayo(c): </w:t>
      </w:r>
      <w:r>
        <w:rPr>
          <w:rFonts w:ascii="Calibri" w:cs="Calibri" w:eastAsia="Calibri" w:hAnsi="Calibri"/>
          <w:sz w:val="22"/>
          <w:szCs w:val="22"/>
        </w:rPr>
        <w:t xml:space="preserve">‘guardián’, ‘hacedor’ o ‘animador de nudos’ en quechua; especialista andino que producía e interpretaba quipus (Medrano 2021, p.23; Clindaniel 2019, p.iii, usa “khipukamayuq” como grafía preferida en sus trabajos más recientes).</w:t>
      </w:r>
    </w:p>
    <w:p>
      <w:pPr>
        <w:pStyle w:val="ListParagraph"/>
        <w:numPr>
          <w:ilvl w:val="0"/>
          <w:numId w:val="1"/>
        </w:numPr>
        <w:spacing w:after="90"/>
      </w:pPr>
      <w:r>
        <w:rPr>
          <w:rFonts w:ascii="Calibri" w:cs="Calibri" w:eastAsia="Calibri" w:hAnsi="Calibri"/>
          <w:b/>
          <w:bCs/>
          <w:sz w:val="22"/>
          <w:szCs w:val="22"/>
        </w:rPr>
        <w:t xml:space="preserve">Información: </w:t>
      </w:r>
      <w:r>
        <w:rPr>
          <w:rFonts w:ascii="Calibri" w:cs="Calibri" w:eastAsia="Calibri" w:hAnsi="Calibri"/>
          <w:sz w:val="22"/>
          <w:szCs w:val="22"/>
        </w:rPr>
        <w:t xml:space="preserve">en el marco adoptado por Medrano (2021, p.25, siguiendo a Urton y Brezine 2011:320) y compartido implícitamente por el resto del corpus, se define como “toda ‘diferencia’ o variabilidad detectable en la estructura y el aspecto de los cordeles, dentro de los ejemplares o entre ellos” — una formulación que vincula el estudio del quipu con la teoría de la información de Claude Shannon (1948).</w:t>
      </w:r>
    </w:p>
    <w:p>
      <w:pPr>
        <w:pStyle w:val="Heading2"/>
        <w:spacing w:after="160" w:before="340"/>
      </w:pPr>
      <w:r>
        <w:t xml:space="preserve">3.2 Estructura física (componentes)</w:t>
      </w:r>
    </w:p>
    <w:p>
      <w:pPr>
        <w:spacing w:after="160"/>
        <w:jc w:val="both"/>
      </w:pPr>
      <w:r>
        <w:rPr>
          <w:rFonts w:ascii="Calibri" w:cs="Calibri" w:eastAsia="Calibri" w:hAnsi="Calibri"/>
          <w:sz w:val="22"/>
          <w:szCs w:val="22"/>
        </w:rPr>
        <w:t xml:space="preserve">Los componentes básicos, descritos de forma consistente en Clindaniel (2019, p.8-11), Medrano (2021, p.28-29) y el Basel Khipu Report (p.1-5), son:</w:t>
      </w:r>
    </w:p>
    <w:p>
      <w:pPr>
        <w:pStyle w:val="ListParagraph"/>
        <w:numPr>
          <w:ilvl w:val="0"/>
          <w:numId w:val="1"/>
        </w:numPr>
        <w:spacing w:after="90"/>
      </w:pPr>
      <w:r>
        <w:rPr>
          <w:rFonts w:ascii="Calibri" w:cs="Calibri" w:eastAsia="Calibri" w:hAnsi="Calibri"/>
          <w:sz w:val="22"/>
          <w:szCs w:val="22"/>
        </w:rPr>
        <w:t xml:space="preserve">Cuerda primaria (primary cord): cuerda horizontal de la que cuelgan las demás; tiene un extremo anudado o con borlas (“cabeza”) y un extremo colgante (“cola”).</w:t>
      </w:r>
    </w:p>
    <w:p>
      <w:pPr>
        <w:pStyle w:val="ListParagraph"/>
        <w:numPr>
          <w:ilvl w:val="0"/>
          <w:numId w:val="1"/>
        </w:numPr>
        <w:spacing w:after="90"/>
      </w:pPr>
      <w:r>
        <w:rPr>
          <w:rFonts w:ascii="Calibri" w:cs="Calibri" w:eastAsia="Calibri" w:hAnsi="Calibri"/>
          <w:sz w:val="22"/>
          <w:szCs w:val="22"/>
        </w:rPr>
        <w:t xml:space="preserve">Cuerdas colgantes / pendientes (pendant cords): cuerdas atadas a la cuerda primaria mediante un nudo de amarre; portan la mayor parte de la información registrada.</w:t>
      </w:r>
    </w:p>
    <w:p>
      <w:pPr>
        <w:pStyle w:val="ListParagraph"/>
        <w:numPr>
          <w:ilvl w:val="0"/>
          <w:numId w:val="1"/>
        </w:numPr>
        <w:spacing w:after="90"/>
      </w:pPr>
      <w:r>
        <w:rPr>
          <w:rFonts w:ascii="Calibri" w:cs="Calibri" w:eastAsia="Calibri" w:hAnsi="Calibri"/>
          <w:sz w:val="22"/>
          <w:szCs w:val="22"/>
        </w:rPr>
        <w:t xml:space="preserve">Cuerdas superiores (top cords): cuerdas atadas “hacia arriba”, verticalmente opuestas a las colgantes; con frecuencia (aunque no siempre, ver sección 6) registran sumas de las cuerdas colgantes asociadas (Medrano y Khosla 2024).</w:t>
      </w:r>
    </w:p>
    <w:p>
      <w:pPr>
        <w:pStyle w:val="ListParagraph"/>
        <w:numPr>
          <w:ilvl w:val="0"/>
          <w:numId w:val="1"/>
        </w:numPr>
        <w:spacing w:after="90"/>
      </w:pPr>
      <w:r>
        <w:rPr>
          <w:rFonts w:ascii="Calibri" w:cs="Calibri" w:eastAsia="Calibri" w:hAnsi="Calibri"/>
          <w:sz w:val="22"/>
          <w:szCs w:val="22"/>
        </w:rPr>
        <w:t xml:space="preserve">Cuerdas subsidiarias (subsidiary cords): cuerdas adheridas a una cuerda colgante (no a la primaria); se anotan con sufijo “s” (p.ej. cordón 31s1); pueden tener sus propias subsidiarias (31s2s1) (Basel Khipu Report, p.1, p.5-6).</w:t>
      </w:r>
    </w:p>
    <w:p>
      <w:pPr>
        <w:pStyle w:val="ListParagraph"/>
        <w:numPr>
          <w:ilvl w:val="0"/>
          <w:numId w:val="1"/>
        </w:numPr>
        <w:spacing w:after="90"/>
      </w:pPr>
      <w:r>
        <w:rPr>
          <w:rFonts w:ascii="Calibri" w:cs="Calibri" w:eastAsia="Calibri" w:hAnsi="Calibri"/>
          <w:sz w:val="22"/>
          <w:szCs w:val="22"/>
        </w:rPr>
        <w:t xml:space="preserve">Kaytes / borlas: bultos o flecos afijados a la cuerda primaria; se ha propuesto que señalan el tema o género global del quipu (Hyland 2021a, citada en Medrano 2021, p.55; también discutidos como “largely unstudied” en Clindaniel 2019, p.130, y como posible marcador de género en Medrano y Khosla 2024, p.14).</w:t>
      </w:r>
    </w:p>
    <w:p>
      <w:pPr>
        <w:pStyle w:val="ListParagraph"/>
        <w:numPr>
          <w:ilvl w:val="0"/>
          <w:numId w:val="1"/>
        </w:numPr>
        <w:spacing w:after="90"/>
      </w:pPr>
      <w:r>
        <w:rPr>
          <w:rFonts w:ascii="Calibri" w:cs="Calibri" w:eastAsia="Calibri" w:hAnsi="Calibri"/>
          <w:sz w:val="22"/>
          <w:szCs w:val="22"/>
        </w:rPr>
        <w:t xml:space="preserve">Nudo de amarre (attachment knot): fija cada cuerda colgante a la primaria; puede ser de tipo recto o verso (Basel Khipu Report, p.2; Medrano y Urton 2018).</w:t>
      </w:r>
    </w:p>
    <w:p>
      <w:pPr>
        <w:pStyle w:val="Heading2"/>
        <w:spacing w:after="160" w:before="340"/>
      </w:pPr>
      <w:r>
        <w:t xml:space="preserve">3.3 Codificación numérica</w:t>
      </w:r>
    </w:p>
    <w:p>
      <w:pPr>
        <w:spacing w:after="160"/>
        <w:jc w:val="both"/>
      </w:pPr>
      <w:r>
        <w:rPr>
          <w:rFonts w:ascii="Calibri" w:cs="Calibri" w:eastAsia="Calibri" w:hAnsi="Calibri"/>
          <w:sz w:val="22"/>
          <w:szCs w:val="22"/>
        </w:rPr>
        <w:t xml:space="preserve">El sistema numérico decimal jerárquico —descifrado por Locke (1912/1923)— usa tres tipos de nudo: nudo en forma de ocho (valor 1, siempre en la posición de unidades), nudo largo (valores 2 a 9, en unidades) y nudo simple (decenas, centenas, millares, según su posición a lo largo de la cuerda) (Basel Khipu Report, p.3; Clindaniel 2019, p.8-10; Medrano 2021, p.52). Según un cálculo realizado por Clindaniel (2019, p.67) sobre la KDB, el 92% de las cuerdas colgantes sobrevivientes siguen esta notación numérica estándar (“sistema lockeano”); el 8% restante se considera “anómalo” y probablemente también numérico, aunque en un formato aún no descifrado (Clindaniel 2019, p.11-12, remitiendo a Clindaniel 2018).</w:t>
      </w:r>
    </w:p>
    <w:p>
      <w:pPr>
        <w:pStyle w:val="Heading2"/>
        <w:spacing w:after="160" w:before="340"/>
      </w:pPr>
      <w:r>
        <w:t xml:space="preserve">3.4 Hilado, torsión y dirección de nudo</w:t>
      </w:r>
    </w:p>
    <w:p>
      <w:pPr>
        <w:pStyle w:val="ListParagraph"/>
        <w:numPr>
          <w:ilvl w:val="0"/>
          <w:numId w:val="1"/>
        </w:numPr>
        <w:spacing w:after="90"/>
      </w:pPr>
      <w:r>
        <w:rPr>
          <w:rFonts w:ascii="Calibri" w:cs="Calibri" w:eastAsia="Calibri" w:hAnsi="Calibri"/>
          <w:sz w:val="22"/>
          <w:szCs w:val="22"/>
        </w:rPr>
        <w:t xml:space="preserve">Hilado (spin) y torsión (ply): direcciones binarias de construcción de la cuerda, denotadas “S” o “Z” (Basel Khipu Report, p.1).</w:t>
      </w:r>
    </w:p>
    <w:p>
      <w:pPr>
        <w:pStyle w:val="ListParagraph"/>
        <w:numPr>
          <w:ilvl w:val="0"/>
          <w:numId w:val="1"/>
        </w:numPr>
        <w:spacing w:after="90"/>
      </w:pPr>
      <w:r>
        <w:rPr>
          <w:rFonts w:ascii="Calibri" w:cs="Calibri" w:eastAsia="Calibri" w:hAnsi="Calibri"/>
          <w:sz w:val="22"/>
          <w:szCs w:val="22"/>
        </w:rPr>
        <w:t xml:space="preserve">Dirección de nudo (S/Z): variable con valor semiótico propuesto — en época inca, Z se interpreta como no marcado (posesión decimal completa) y S como marcado, posible marcador gramatical vinculado a la posesión en quechua (chunka kinsayuq, “diez poseedor de tres”) (Clindaniel 2019, cap. 3, p.66-68). Esta lectura no es universal: el sitio de Armatambo exhibe el patrón invertido (Clindaniel 2019, p.63-65), y el khipu-tabla colonial de Mangas también presenta S como no marcado (Hyland et al. 2014, citado en Clindaniel 2019, p.16-17) — ver sección 7.</w:t>
      </w:r>
    </w:p>
    <w:p>
      <w:pPr>
        <w:pStyle w:val="Heading2"/>
        <w:spacing w:after="160" w:before="340"/>
      </w:pPr>
      <w:r>
        <w:t xml:space="preserve">3.5 Color: esquemas de codificación</w:t>
      </w:r>
    </w:p>
    <w:p>
      <w:pPr>
        <w:spacing w:after="160"/>
        <w:jc w:val="both"/>
      </w:pPr>
      <w:r>
        <w:rPr>
          <w:rFonts w:ascii="Calibri" w:cs="Calibri" w:eastAsia="Calibri" w:hAnsi="Calibri"/>
          <w:sz w:val="22"/>
          <w:szCs w:val="22"/>
        </w:rPr>
        <w:t xml:space="preserve">El color es, según coinciden todas las fuentes académicas del corpus, uno de los principales portadores de significado no numérico. Existen al menos dos esquemas de codificación de color documentados en el corpus, con distinto nivel de granularidad:</w:t>
      </w:r>
    </w:p>
    <w:p>
      <w:pPr>
        <w:pStyle w:val="ListParagraph"/>
        <w:numPr>
          <w:ilvl w:val="0"/>
          <w:numId w:val="1"/>
        </w:numPr>
        <w:spacing w:after="90"/>
      </w:pPr>
      <w:r>
        <w:rPr>
          <w:rFonts w:ascii="Calibri" w:cs="Calibri" w:eastAsia="Calibri" w:hAnsi="Calibri"/>
          <w:sz w:val="22"/>
          <w:szCs w:val="22"/>
        </w:rPr>
        <w:t xml:space="preserve">Matriz de color de Brezine (Brezine’s Khipu Cord Color Matrix): sistema de abreviaturas (p.ej. “AB” = marrón claro, “KB” = marrón oscuro) usado para registrar el color observado directamente sobre la cuerda física (Basel Khipu Report, p.4).</w:t>
      </w:r>
    </w:p>
    <w:p>
      <w:pPr>
        <w:pStyle w:val="ListParagraph"/>
        <w:numPr>
          <w:ilvl w:val="0"/>
          <w:numId w:val="1"/>
        </w:numPr>
        <w:spacing w:after="90"/>
      </w:pPr>
      <w:r>
        <w:rPr>
          <w:rFonts w:ascii="Calibri" w:cs="Calibri" w:eastAsia="Calibri" w:hAnsi="Calibri"/>
          <w:sz w:val="22"/>
          <w:szCs w:val="22"/>
        </w:rPr>
        <w:t xml:space="preserve">Khipu Color Code System (KCCS) (Urton y Brezine 2011): agrupa por matiz (letra) y tono (número) las variaciones más finas del sistema original de los Ascher (1978) — por ejemplo, el código “B4” agrupa 8 códigos Ascher distintos de marrón oscuro — reduciendo la variabilidad de registro entre observadores y facilitando el análisis computacional entre khipus (Clindaniel 2024, p.7).</w:t>
      </w:r>
    </w:p>
    <w:p>
      <w:pPr>
        <w:pStyle w:val="ListParagraph"/>
        <w:numPr>
          <w:ilvl w:val="0"/>
          <w:numId w:val="1"/>
        </w:numPr>
        <w:spacing w:after="90"/>
      </w:pPr>
      <w:r>
        <w:rPr>
          <w:rFonts w:ascii="Calibri" w:cs="Calibri" w:eastAsia="Calibri" w:hAnsi="Calibri"/>
          <w:sz w:val="22"/>
          <w:szCs w:val="22"/>
        </w:rPr>
        <w:t xml:space="preserve">Combinaciones de color en una misma cuerda: moteado o mottled (mezcla de colores entrelazados, notado con “:”), barber pole o tipo “poste de barbero” (alternancia en espiral, notado con “-”) y empalmado/segmentado (cambio abrupto a lo largo de la cuerda, notado con “/”) (Basel Khipu Report, p.4-5; Clindaniel 2024, p.7).</w:t>
      </w:r>
    </w:p>
    <w:p>
      <w:pPr>
        <w:pStyle w:val="Heading2"/>
        <w:spacing w:after="160" w:before="340"/>
      </w:pPr>
      <w:r>
        <w:t xml:space="preserve">3.6 Esquema de datos tabulares (KDB)</w:t>
      </w:r>
    </w:p>
    <w:p>
      <w:pPr>
        <w:spacing w:after="160"/>
        <w:jc w:val="both"/>
      </w:pPr>
      <w:r>
        <w:rPr>
          <w:rFonts w:ascii="Calibri" w:cs="Calibri" w:eastAsia="Calibri" w:hAnsi="Calibri"/>
          <w:sz w:val="22"/>
          <w:szCs w:val="22"/>
        </w:rPr>
        <w:t xml:space="preserve">El Basel Khipu Report documenta con detalle el esquema de columnas usado para transformar la evidencia física de una cuerda en datos tabulares analizables (número de cuerda, hilado, torsión, tipo de amarre, nudos, longitud, terminación, color, valor numérico, valores alternativos, número/ubicación de subsidiarias, y una columna de notas). Este esquema —descrito en la sección 5— es la “capa de captura de datos” que alimenta, en última instancia, tanto la Harvard Khipu Database / Open Khipu Repository como los análisis computacionales de Medrano y Khosla (2024) y Clindaniel (2024).</w:t>
      </w:r>
    </w:p>
    <w:p>
      <w:pPr>
        <w:pStyle w:val="Heading2"/>
        <w:spacing w:after="160" w:before="340"/>
      </w:pPr>
      <w:r>
        <w:t xml:space="preserve">3.7 Marco semiótico</w:t>
      </w:r>
    </w:p>
    <w:p>
      <w:pPr>
        <w:spacing w:after="160"/>
        <w:jc w:val="both"/>
      </w:pPr>
      <w:r>
        <w:rPr>
          <w:rFonts w:ascii="Calibri" w:cs="Calibri" w:eastAsia="Calibri" w:hAnsi="Calibri"/>
          <w:sz w:val="22"/>
          <w:szCs w:val="22"/>
        </w:rPr>
        <w:t xml:space="preserve">La disertación de Clindaniel (2019, cap. 2) formaliza, con mayor detalle que cualquier otra fuente del corpus, un marco semiótico peirceano para interpretar los signos del quipu: siguiendo a Charles Sanders Peirce, distingue icono/índice/símbolo (relación entre el signo y su objeto), qualisign/sinsign/legisign (naturaleza del signo mismo) y rheme/dicent/argument (relación entre el signo y su intérprete). Concluye que los signos no numéricos del quipu identificados hasta ahora funcionan como “dicent symbolic legisigns” (símbolos dicentes): convenciones que se correlacionan con su objeto y aportan información de forma proposicional. A esto se suma la teoría de la markedness (marcación) lingüística: en un par binario opuesto (p.ej. claro/oscuro, Z/S), la categoría no marcada es la más frecuente e inclusiva, y la marcada, la más restringida — un principio aplicado de forma consistente en Clindaniel (2019) y confirmado a mayor escala en Clindaniel (2024) (ver sección 8).</w:t>
      </w:r>
    </w:p>
    <w:p>
      <w:pPr>
        <w:pStyle w:val="Heading2"/>
        <w:spacing w:after="160" w:before="340"/>
      </w:pPr>
      <w:r>
        <w:t xml:space="preserve">3.8 Géneros y tipos de quipu</w:t>
      </w:r>
    </w:p>
    <w:p>
      <w:pPr>
        <w:pStyle w:val="ListParagraph"/>
        <w:numPr>
          <w:ilvl w:val="0"/>
          <w:numId w:val="1"/>
        </w:numPr>
        <w:spacing w:after="90"/>
      </w:pPr>
      <w:r>
        <w:rPr>
          <w:rFonts w:ascii="Calibri" w:cs="Calibri" w:eastAsia="Calibri" w:hAnsi="Calibri"/>
          <w:sz w:val="22"/>
          <w:szCs w:val="22"/>
        </w:rPr>
        <w:t xml:space="preserve">Quipus administrativos: de contabilidad laboral (p.ej. Puruchuco) o de almacén/tributaria (p.ej. Inkawasi) — ver distinción “working” vs. “summary” en Medrano y Khosla (2024), sección 6.</w:t>
      </w:r>
    </w:p>
    <w:p>
      <w:pPr>
        <w:pStyle w:val="ListParagraph"/>
        <w:numPr>
          <w:ilvl w:val="0"/>
          <w:numId w:val="1"/>
        </w:numPr>
        <w:spacing w:after="90"/>
      </w:pPr>
      <w:r>
        <w:rPr>
          <w:rFonts w:ascii="Calibri" w:cs="Calibri" w:eastAsia="Calibri" w:hAnsi="Calibri"/>
          <w:sz w:val="22"/>
          <w:szCs w:val="22"/>
        </w:rPr>
        <w:t xml:space="preserve">Quipus narrativos: término usado, según Medrano (2021, p.28-29, 56), “acríticamente” en la literatura para ejemplares que no encajan en el esquema numérico estándar y que presumiblemente registran contenido no numérico (histórico, biográfico).</w:t>
      </w:r>
    </w:p>
    <w:p>
      <w:pPr>
        <w:pStyle w:val="ListParagraph"/>
        <w:numPr>
          <w:ilvl w:val="0"/>
          <w:numId w:val="1"/>
        </w:numPr>
        <w:spacing w:after="90"/>
      </w:pPr>
      <w:r>
        <w:rPr>
          <w:rFonts w:ascii="Calibri" w:cs="Calibri" w:eastAsia="Calibri" w:hAnsi="Calibri"/>
          <w:sz w:val="22"/>
          <w:szCs w:val="22"/>
        </w:rPr>
        <w:t xml:space="preserve">Quipus calendáricos, eclesiásticos (tablas de quipu coloniales) y ceremoniales/religiosos (Medrano 2021, cap. 4).</w:t>
      </w:r>
    </w:p>
    <w:p>
      <w:pPr>
        <w:pStyle w:val="ListParagraph"/>
        <w:numPr>
          <w:ilvl w:val="0"/>
          <w:numId w:val="1"/>
        </w:numPr>
        <w:spacing w:after="90"/>
      </w:pPr>
      <w:r>
        <w:rPr>
          <w:rFonts w:ascii="Calibri" w:cs="Calibri" w:eastAsia="Calibri" w:hAnsi="Calibri"/>
          <w:sz w:val="22"/>
          <w:szCs w:val="22"/>
        </w:rPr>
        <w:t xml:space="preserve">Quipus etnográficos vs. patrimoniales: distinción de Frank Salomon (2004, citado en Medrano 2021, p.93, 96) — los primeros aún son leídos funcionalmente por sus guardianes actuales (p.ej. Cuspón); los segundos conservan significado ritual/simbólico sin ser ya “legibles” en sentido estricto (p.ej. Rapaz, Tupicocha).</w:t>
      </w:r>
    </w:p>
    <w:p>
      <w:pPr>
        <w:pStyle w:val="Heading2"/>
        <w:spacing w:after="160" w:before="340"/>
      </w:pPr>
      <w:r>
        <w:t xml:space="preserve">3.9 Nomenclatura de especímenes</w:t>
      </w:r>
    </w:p>
    <w:p>
      <w:pPr>
        <w:spacing w:after="160"/>
        <w:jc w:val="both"/>
      </w:pPr>
      <w:r>
        <w:rPr>
          <w:rFonts w:ascii="Calibri" w:cs="Calibri" w:eastAsia="Calibri" w:hAnsi="Calibri"/>
          <w:sz w:val="22"/>
          <w:szCs w:val="22"/>
        </w:rPr>
        <w:t xml:space="preserve">Hasta 2024, los quipus del corpus digitalizado se identificaban con códigos alfanuméricos de dos letras correspondientes al apellido del investigador catalogador más un número de orden (p.ej. AS122 = Ascher; UR296 = Urton; JC005 = Clindaniel). Brezine et al. (2024) documentan en detalle las ambigüedades e inconsistencias de ese sistema (ver sección 7) y proponen su reemplazo por la convención KH#### (p.ej. KH0503), implementada en el Open Khipu Repository. Los papers de 2024 del corpus (Medrano y Khosla; Clindaniel) ya usan la nueva convención KH####.</w:t>
      </w:r>
    </w:p>
    <w:p>
      <w:pPr>
        <w:pStyle w:val="Heading2"/>
        <w:spacing w:after="160" w:before="340"/>
      </w:pPr>
      <w:r>
        <w:t xml:space="preserve">3.10 Bases de datos: de la KDB al OKR</w:t>
      </w:r>
    </w:p>
    <w:p>
      <w:pPr>
        <w:spacing w:after="160"/>
        <w:jc w:val="both"/>
      </w:pPr>
      <w:r>
        <w:rPr>
          <w:rFonts w:ascii="Calibri" w:cs="Calibri" w:eastAsia="Calibri" w:hAnsi="Calibri"/>
          <w:sz w:val="22"/>
          <w:szCs w:val="22"/>
        </w:rPr>
        <w:t xml:space="preserve">La Harvard Khipu Database (KDB), iniciada en 2002 bajo la dirección de Carrie Brezine (Clindaniel 2019, p.34), fue renombrada Open Khipu Repository (OKR) y es descrita en Brezine et al. (2024, p.5) como una base de datos relacional SQLite de código y acceso abierto, alojada en GitHub, con versiones archivadas en Zenodo. Su tabla central, KHIPU_MAIN, usa KHIPU_ID como llave primaria y contiene los campos INVESTIGATOR_NUM (nombre antiguo) y OKR_NUM (nombre KH####). Nótese una discrepancia terminológica entre fuentes sobre la tecnología de base de datos empleada, señalada en la sección 7.</w:t>
      </w:r>
    </w:p>
    <w:p>
      <w:pPr>
        <w:pStyle w:val="Heading1"/>
        <w:pageBreakBefore/>
        <w:spacing w:after="240" w:before="480"/>
      </w:pPr>
      <w:r>
        <w:t xml:space="preserve">4. Principales líneas de investigación</w:t>
      </w:r>
    </w:p>
    <w:p>
      <w:pPr>
        <w:spacing w:after="160"/>
        <w:jc w:val="both"/>
      </w:pPr>
      <w:r>
        <w:rPr>
          <w:rFonts w:ascii="Calibri" w:cs="Calibri" w:eastAsia="Calibri" w:hAnsi="Calibri"/>
          <w:sz w:val="22"/>
          <w:szCs w:val="22"/>
        </w:rPr>
        <w:t xml:space="preserve">Esta sección agrupa la bibliografía del corpus por tema, no por documento. Cada línea de investigación puede estar representada en varias fuentes a la vez; cuando eso ocurre, se indica explícitamente.</w:t>
      </w:r>
    </w:p>
    <w:p>
      <w:pPr>
        <w:pStyle w:val="Heading2"/>
        <w:spacing w:after="160" w:before="340"/>
      </w:pPr>
      <w:r>
        <w:t xml:space="preserve">4.1 Interpretación histórica y cronística</w:t>
      </w:r>
    </w:p>
    <w:p>
      <w:pPr>
        <w:spacing w:after="160"/>
        <w:jc w:val="both"/>
      </w:pPr>
      <w:r>
        <w:rPr>
          <w:rFonts w:ascii="Calibri" w:cs="Calibri" w:eastAsia="Calibri" w:hAnsi="Calibri"/>
          <w:sz w:val="22"/>
          <w:szCs w:val="22"/>
        </w:rPr>
        <w:t xml:space="preserve">Basada principalmente en Medrano (2021, caps. 1-4), que sintetiza el testimonio de cronistas coloniales (Hernando Pizarro, 1533; Garcilaso de la Vega, 1609; Antonio de la Calancha, 1638; Martín de Murúa, 1590) sobre el uso y significado de los quipus. Estas fuentes históricas aparecen también citadas, de forma más acotada, en Clindaniel (2019, cap. 1 y 4) y en Clindaniel (2024, introducción) como hipótesis de trabajo a contrastar contra evidencia arqueológica y computacional. Un hallazgo transversal de esta línea es que el testimonio cronístico, aunque valioso, es fragmentario y a veces contradictorio (ver sección 7).</w:t>
      </w:r>
    </w:p>
    <w:p>
      <w:pPr>
        <w:pStyle w:val="Heading2"/>
        <w:spacing w:after="160" w:before="340"/>
      </w:pPr>
      <w:r>
        <w:t xml:space="preserve">4.2 Arqueología de sitios y colecciones</w:t>
      </w:r>
    </w:p>
    <w:p>
      <w:pPr>
        <w:spacing w:after="160"/>
        <w:jc w:val="both"/>
      </w:pPr>
      <w:r>
        <w:rPr>
          <w:rFonts w:ascii="Calibri" w:cs="Calibri" w:eastAsia="Calibri" w:hAnsi="Calibri"/>
          <w:sz w:val="22"/>
          <w:szCs w:val="22"/>
        </w:rPr>
        <w:t xml:space="preserve">Representada por el trabajo de campo directo documentado en tres fuentes: la excavación del sitio de Inkawasi (valle de Cañete, Perú) por Alejandro Chu (temporada 2013-2014) y por el propio Clindaniel (temporada 2016), que produjo el corpus de 52 khipus y 6 varas envueltas con hilo analizado en profundidad en Clindaniel (2019, caps. 3-5); las visitas de catalogación de Manuel Medrano a museos europeos (Basilea, Detmold, Madrid, Hamburgo, Stuttgart, Hannover, Fráncfort), documentadas en el Basel Khipu Report y referenciadas en Medrano (2021, cap. 5) y en Medrano y Khosla (2024, nota 2); y el inventario global de museos y colecciones del Anexo de Medrano (2021), que cubre 143 instituciones en al menos 22 países.</w:t>
      </w:r>
    </w:p>
    <w:p>
      <w:pPr>
        <w:pStyle w:val="Heading2"/>
        <w:spacing w:after="160" w:before="340"/>
      </w:pPr>
      <w:r>
        <w:t xml:space="preserve">4.3 Estructura, codificación y esquemas de datos</w:t>
      </w:r>
    </w:p>
    <w:p>
      <w:pPr>
        <w:spacing w:after="160"/>
        <w:jc w:val="both"/>
      </w:pPr>
      <w:r>
        <w:rPr>
          <w:rFonts w:ascii="Calibri" w:cs="Calibri" w:eastAsia="Calibri" w:hAnsi="Calibri"/>
          <w:sz w:val="22"/>
          <w:szCs w:val="22"/>
        </w:rPr>
        <w:t xml:space="preserve">Documentada de forma más técnica en el Basel Khipu Report (esquema de columnas KDB) y retomada, con adaptaciones, en el sistema KCCS usado por Clindaniel (2024). Esta línea es la base metodológica de todas las demás: sin un esquema consistente de transcripción de la evidencia física a datos tabulares, ninguno de los análisis estadísticos o computacionales del resto del corpus sería posible.</w:t>
      </w:r>
    </w:p>
    <w:p>
      <w:pPr>
        <w:pStyle w:val="Heading2"/>
        <w:spacing w:after="160" w:before="340"/>
      </w:pPr>
      <w:r>
        <w:t xml:space="preserve">4.4 Bases de datos, gobernanza y nomenclatura</w:t>
      </w:r>
    </w:p>
    <w:p>
      <w:pPr>
        <w:spacing w:after="160"/>
        <w:jc w:val="both"/>
      </w:pPr>
      <w:r>
        <w:rPr>
          <w:rFonts w:ascii="Calibri" w:cs="Calibri" w:eastAsia="Calibri" w:hAnsi="Calibri"/>
          <w:sz w:val="22"/>
          <w:szCs w:val="22"/>
        </w:rPr>
        <w:t xml:space="preserve">Cubre la evolución de la Harvard Khipu Database (KDB) hacia el Open Khipu Repository (OKR), documentada principalmente en Brezine et al. (2024) —dedicado en su totalidad a la propuesta de nomenclatura KH####— y mencionada en Medrano (2021, cap. 5), Clindaniel (2019, p.34-35) y Clindaniel (2024, p.6-7). Incluye una dimensión ética explícita: Brezine et al. (2024) enmarcan el cambio de nomenclatura como “un primer paso en el proceso de descolonizar la disciplina”, señalando que más del 90% de las entradas del OKR están atribuidas a investigadores no peruanos.</w:t>
      </w:r>
    </w:p>
    <w:p>
      <w:pPr>
        <w:pStyle w:val="Heading2"/>
        <w:spacing w:after="160" w:before="340"/>
      </w:pPr>
      <w:r>
        <w:t xml:space="preserve">4.5 Lingüística y semiótica</w:t>
      </w:r>
    </w:p>
    <w:p>
      <w:pPr>
        <w:spacing w:after="160"/>
        <w:jc w:val="both"/>
      </w:pPr>
      <w:r>
        <w:rPr>
          <w:rFonts w:ascii="Calibri" w:cs="Calibri" w:eastAsia="Calibri" w:hAnsi="Calibri"/>
          <w:sz w:val="22"/>
          <w:szCs w:val="22"/>
        </w:rPr>
        <w:t xml:space="preserve">Desarrollada casi en su totalidad en Clindaniel (2019), que aplica la teoría del signo de Charles Sanders Peirce y la teoría lingüística de la marcación (markedness) al corpus arqueológico de khipus, y establece paralelos explícitos con la gramática quechua (posesión numérica, paralelismo poético). Hyland (2016, 2017, 2020, citada en varias fuentes del corpus) aporta la base etnográfica lingüística complementaria sobre khipus poscoloniales (Anchucaya, Collata).</w:t>
      </w:r>
    </w:p>
    <w:p>
      <w:pPr>
        <w:pStyle w:val="Heading2"/>
        <w:spacing w:after="160" w:before="340"/>
      </w:pPr>
      <w:r>
        <w:t xml:space="preserve">4.6 Análisis estadístico y matemático a escala de corpus</w:t>
      </w:r>
    </w:p>
    <w:p>
      <w:pPr>
        <w:spacing w:after="160"/>
        <w:jc w:val="both"/>
      </w:pPr>
      <w:r>
        <w:rPr>
          <w:rFonts w:ascii="Calibri" w:cs="Calibri" w:eastAsia="Calibri" w:hAnsi="Calibri"/>
          <w:sz w:val="22"/>
          <w:szCs w:val="22"/>
        </w:rPr>
        <w:t xml:space="preserve">Representada principalmente por Medrano y Khosla (2024), que generaliza computacionalmente las “relaciones de Ascher” (proporciones aritméticas entre cuerdas) a 650 khipus, y por los capítulos 3 y 5 de Clindaniel (2019), que aplican pruebas binomiales, ANOVA y regresión logística a los datos de dirección de nudo y de patrón de color de la KDB. Ambas fuentes comparten el objetivo de generalizar observaciones antes hechas solo a nivel de especímenes individuales.</w:t>
      </w:r>
    </w:p>
    <w:p>
      <w:pPr>
        <w:pStyle w:val="Heading2"/>
        <w:spacing w:after="160" w:before="340"/>
      </w:pPr>
      <w:r>
        <w:t xml:space="preserve">4.7 Computación e inteligencia artificial</w:t>
      </w:r>
    </w:p>
    <w:p>
      <w:pPr>
        <w:spacing w:after="160"/>
        <w:jc w:val="both"/>
      </w:pPr>
      <w:r>
        <w:rPr>
          <w:rFonts w:ascii="Calibri" w:cs="Calibri" w:eastAsia="Calibri" w:hAnsi="Calibri"/>
          <w:sz w:val="22"/>
          <w:szCs w:val="22"/>
        </w:rPr>
        <w:t xml:space="preserve">La línea más reciente del corpus, representada por Clindaniel (2024) —que entrena un modelo transformer (BERT) para analizar el espacio semántico del color de cuerda en 629 khipus del OKR— y anticipada, a nivel de propuesta programática (no de resultado ya obtenido), en el capítulo 6 de Medrano (2021), donde el autor plantea explícitamente entrenar algoritmos de aprendizaje automático sobre bases de datos de quipus para apoyar su clasificación tipológica, calificando la propuesta de “sin precedentes” en el momento de escribir el libro (2021, p.133).</w:t>
      </w:r>
    </w:p>
    <w:p>
      <w:pPr>
        <w:pStyle w:val="Heading2"/>
        <w:spacing w:after="160" w:before="340"/>
      </w:pPr>
      <w:r>
        <w:t xml:space="preserve">4.8 Reconocimiento de patrones y desciframiento</w:t>
      </w:r>
    </w:p>
    <w:p>
      <w:pPr>
        <w:spacing w:after="160"/>
        <w:jc w:val="both"/>
      </w:pPr>
      <w:r>
        <w:rPr>
          <w:rFonts w:ascii="Calibri" w:cs="Calibri" w:eastAsia="Calibri" w:hAnsi="Calibri"/>
          <w:sz w:val="22"/>
          <w:szCs w:val="22"/>
        </w:rPr>
        <w:t xml:space="preserve">Tema transversal a casi todo el corpus, con dos submodalidades claramente diferenciadas: el desciframiento de patrones aritméticos internos de un khipu (relaciones de suma/resta entre cuerdas — Medrano y Khosla 2024; también el caso de reagrupamiento de fragmentos de KH0468) y el desciframiento de patrones semánticos de color (Clindaniel 2019 y 2024; Hyland 2016).</w:t>
      </w:r>
    </w:p>
    <w:p>
      <w:pPr>
        <w:pStyle w:val="Heading2"/>
        <w:spacing w:after="160" w:before="340"/>
      </w:pPr>
      <w:r>
        <w:t xml:space="preserve">4.9 Visualización</w:t>
      </w:r>
    </w:p>
    <w:p>
      <w:pPr>
        <w:spacing w:after="160"/>
        <w:jc w:val="both"/>
      </w:pPr>
      <w:r>
        <w:rPr>
          <w:rFonts w:ascii="Calibri" w:cs="Calibri" w:eastAsia="Calibri" w:hAnsi="Calibri"/>
          <w:sz w:val="22"/>
          <w:szCs w:val="22"/>
        </w:rPr>
        <w:t xml:space="preserve">Mencionada explícitamente pero no desarrollada en profundidad en ninguna fuente del corpus salvo como propuesta: Medrano (2021, p.129-133, 140-141) discute la visualización 2D/3D y la realidad aumentada/virtual como una de tres vías digitales (junto con IA y traducción), citando el “Khipu Field Guide” de Ashok Khosla (2021) —coautor, a su vez, de Medrano y Khosla (2024)— como antecedente concreto.</w:t>
      </w:r>
    </w:p>
    <w:p>
      <w:pPr>
        <w:pStyle w:val="Heading2"/>
        <w:spacing w:after="160" w:before="340"/>
      </w:pPr>
      <w:r>
        <w:t xml:space="preserve">4.10 Clasificación tipológica</w:t>
      </w:r>
    </w:p>
    <w:p>
      <w:pPr>
        <w:spacing w:after="160"/>
        <w:jc w:val="both"/>
      </w:pPr>
      <w:r>
        <w:rPr>
          <w:rFonts w:ascii="Calibri" w:cs="Calibri" w:eastAsia="Calibri" w:hAnsi="Calibri"/>
          <w:sz w:val="22"/>
          <w:szCs w:val="22"/>
        </w:rPr>
        <w:t xml:space="preserve">Presente en Medrano y Khosla (2024), que propone una distinción de dos “géneros” de khipu (“working” vs. “summary”) basada en evidencia aritmética cuantitativa, y discutida programáticamente en Medrano (2021, cap. 6) como el problema central que el aprendizaje automático podría ayudar a resolver a partir de quipus dispersos y sin procedencia clara.</w:t>
      </w:r>
    </w:p>
    <w:p>
      <w:pPr>
        <w:pStyle w:val="Heading2"/>
        <w:spacing w:after="160" w:before="340"/>
      </w:pPr>
      <w:r>
        <w:t xml:space="preserve">4.11 Conservación, documentación material y consideraciones tafonómicas</w:t>
      </w:r>
    </w:p>
    <w:p>
      <w:pPr>
        <w:spacing w:after="160"/>
        <w:jc w:val="both"/>
      </w:pPr>
      <w:r>
        <w:rPr>
          <w:rFonts w:ascii="Calibri" w:cs="Calibri" w:eastAsia="Calibri" w:hAnsi="Calibri"/>
          <w:sz w:val="22"/>
          <w:szCs w:val="22"/>
        </w:rPr>
        <w:t xml:space="preserve">Tema secundario pero recurrente: el Basel Khipu Report documenta ambigüedades de registro causadas por daño físico; Clindaniel (2024, p.10-11) discute explícitamente el riesgo de que la degradación tafonómica (decoloración, pérdida de cuerdas por tintes con hierro-tanino) distorsione el análisis de color, citando estudios de conservación material (Milillo et al. 2023; Rode et al. 2024) externos al corpus pero referenciados dentro de él.</w:t>
      </w:r>
    </w:p>
    <w:p>
      <w:pPr>
        <w:pStyle w:val="Heading1"/>
        <w:pageBreakBefore/>
        <w:spacing w:after="240" w:before="480"/>
      </w:pPr>
      <w:r>
        <w:t xml:space="preserve">5. Metodologías utilizadas</w:t>
      </w:r>
    </w:p>
    <w:p>
      <w:pPr>
        <w:spacing w:after="160"/>
        <w:jc w:val="both"/>
      </w:pPr>
      <w:r>
        <w:rPr>
          <w:rFonts w:ascii="Calibri" w:cs="Calibri" w:eastAsia="Calibri" w:hAnsi="Calibri"/>
          <w:sz w:val="22"/>
          <w:szCs w:val="22"/>
        </w:rPr>
        <w:t xml:space="preserve">Esta sección compara, de forma explícita, las distintas metodologías empleadas por las fuentes del corpus para estudiar los quipus, siguiendo un eje aproximadamente cronológico que refleja también la evolución metodológica del campo.</w:t>
      </w:r>
    </w:p>
    <w:p>
      <w:pPr>
        <w:pStyle w:val="Heading2"/>
        <w:spacing w:after="160" w:before="340"/>
      </w:pPr>
      <w:r>
        <w:t xml:space="preserve">5.1 Lectura experta de caso único (close reading)</w:t>
      </w:r>
    </w:p>
    <w:p>
      <w:pPr>
        <w:spacing w:after="160"/>
        <w:jc w:val="both"/>
      </w:pPr>
      <w:r>
        <w:rPr>
          <w:rFonts w:ascii="Calibri" w:cs="Calibri" w:eastAsia="Calibri" w:hAnsi="Calibri"/>
          <w:b/>
          <w:bCs/>
          <w:sz w:val="22"/>
          <w:szCs w:val="22"/>
        </w:rPr>
        <w:t xml:space="preserve">Qué intenta conseguir: </w:t>
      </w:r>
      <w:r>
        <w:rPr>
          <w:rFonts w:ascii="Calibri" w:cs="Calibri" w:eastAsia="Calibri" w:hAnsi="Calibri"/>
          <w:sz w:val="22"/>
          <w:szCs w:val="22"/>
        </w:rPr>
        <w:t xml:space="preserve">Interpretar en profundidad un khipu o un pequeño conjunto de khipus, generando hipótesis de significado a partir de su contexto arqueológico, histórico o etnográfico específico.</w:t>
      </w:r>
    </w:p>
    <w:p>
      <w:pPr>
        <w:spacing w:after="160"/>
        <w:jc w:val="both"/>
      </w:pPr>
      <w:r>
        <w:rPr>
          <w:rFonts w:ascii="Calibri" w:cs="Calibri" w:eastAsia="Calibri" w:hAnsi="Calibri"/>
          <w:b/>
          <w:bCs/>
          <w:sz w:val="22"/>
          <w:szCs w:val="22"/>
        </w:rPr>
        <w:t xml:space="preserve">Qué datos requiere: </w:t>
      </w:r>
      <w:r>
        <w:rPr>
          <w:rFonts w:ascii="Calibri" w:cs="Calibri" w:eastAsia="Calibri" w:hAnsi="Calibri"/>
          <w:sz w:val="22"/>
          <w:szCs w:val="22"/>
        </w:rPr>
        <w:t xml:space="preserve">Acceso directo o fotográfico al ejemplar, y frecuentemente evidencia contextual externa (testimonio de guardianes actuales, documentos de archivo, evidencia funeraria asociada).</w:t>
      </w:r>
    </w:p>
    <w:p>
      <w:pPr>
        <w:spacing w:after="160"/>
        <w:jc w:val="both"/>
      </w:pPr>
      <w:r>
        <w:rPr>
          <w:rFonts w:ascii="Calibri" w:cs="Calibri" w:eastAsia="Calibri" w:hAnsi="Calibri"/>
          <w:b/>
          <w:bCs/>
          <w:sz w:val="22"/>
          <w:szCs w:val="22"/>
        </w:rPr>
        <w:t xml:space="preserve">Ventajas: </w:t>
      </w:r>
      <w:r>
        <w:rPr>
          <w:rFonts w:ascii="Calibri" w:cs="Calibri" w:eastAsia="Calibri" w:hAnsi="Calibri"/>
          <w:sz w:val="22"/>
          <w:szCs w:val="22"/>
        </w:rPr>
        <w:t xml:space="preserve">Permite identificar patrones sutiles y contextuales que un análisis agregado podría diluir; es la única vía posible para khipus etnográficos vivos (p.ej. Anchucaya, Cutusuma) que no tienen equivalente arqueológico documentado a escala.</w:t>
      </w:r>
    </w:p>
    <w:p>
      <w:pPr>
        <w:spacing w:after="160"/>
        <w:jc w:val="both"/>
      </w:pPr>
      <w:r>
        <w:rPr>
          <w:rFonts w:ascii="Calibri" w:cs="Calibri" w:eastAsia="Calibri" w:hAnsi="Calibri"/>
          <w:b/>
          <w:bCs/>
          <w:sz w:val="22"/>
          <w:szCs w:val="22"/>
        </w:rPr>
        <w:t xml:space="preserve">Limitaciones: </w:t>
      </w:r>
      <w:r>
        <w:rPr>
          <w:rFonts w:ascii="Calibri" w:cs="Calibri" w:eastAsia="Calibri" w:hAnsi="Calibri"/>
          <w:sz w:val="22"/>
          <w:szCs w:val="22"/>
        </w:rPr>
        <w:t xml:space="preserve">Generalización incierta: el propio Clindaniel (2019, p.98-99) reconoce que su “proof of concept” de color como marcador de crédito/débito/resultado se basa en solo dos khipus de un único sitio (UR267A y UR255) y que “to date, I have yet to identify other storehouse accounting khipus that employ this same system”. La disertación completa de Nordenskiöld sobre una teoría astronómica de los quipus, basada en una muestra de solo 17 ejemplares, fue posteriormente refutada por no ser representativa (Medrano 2021, p.61-63) — ejemplo paradigmático citado explícitamente en el corpus de los riesgos de esta metodología cuando no se combina con verificación a mayor escala.</w:t>
      </w:r>
    </w:p>
    <w:p>
      <w:pPr>
        <w:spacing w:after="160"/>
        <w:jc w:val="both"/>
      </w:pPr>
      <w:r>
        <w:rPr>
          <w:rFonts w:ascii="Calibri" w:cs="Calibri" w:eastAsia="Calibri" w:hAnsi="Calibri"/>
          <w:b/>
          <w:bCs/>
          <w:sz w:val="22"/>
          <w:szCs w:val="22"/>
        </w:rPr>
        <w:t xml:space="preserve">Resultados que ha producido: </w:t>
      </w:r>
      <w:r>
        <w:rPr>
          <w:rFonts w:ascii="Calibri" w:cs="Calibri" w:eastAsia="Calibri" w:hAnsi="Calibri"/>
          <w:sz w:val="22"/>
          <w:szCs w:val="22"/>
        </w:rPr>
        <w:t xml:space="preserve">La base empírica original de casi todas las hipótesis de significado de color y dirección de nudo hoy sometidas a prueba cuantitativa: banding/seriación (Hyland 2016), dirección de hilado en Cutusuma (Hyland 2014), dirección de nudo en el khipu-tabla de Mangas (Hyland et al. 2014), y el caso crédito/débito/resultado de Inkawasi (Clindaniel 2019).</w:t>
      </w:r>
    </w:p>
    <w:p>
      <w:pPr>
        <w:pStyle w:val="Heading2"/>
        <w:spacing w:after="160" w:before="340"/>
      </w:pPr>
      <w:r>
        <w:t xml:space="preserve">5.2 Catalogación y construcción de bases de datos</w:t>
      </w:r>
    </w:p>
    <w:p>
      <w:pPr>
        <w:spacing w:after="160"/>
        <w:jc w:val="both"/>
      </w:pPr>
      <w:r>
        <w:rPr>
          <w:rFonts w:ascii="Calibri" w:cs="Calibri" w:eastAsia="Calibri" w:hAnsi="Calibri"/>
          <w:b/>
          <w:bCs/>
          <w:sz w:val="22"/>
          <w:szCs w:val="22"/>
        </w:rPr>
        <w:t xml:space="preserve">Qué intenta conseguir: </w:t>
      </w:r>
      <w:r>
        <w:rPr>
          <w:rFonts w:ascii="Calibri" w:cs="Calibri" w:eastAsia="Calibri" w:hAnsi="Calibri"/>
          <w:sz w:val="22"/>
          <w:szCs w:val="22"/>
        </w:rPr>
        <w:t xml:space="preserve">Producir un registro sistemático, comparable y reutilizable de la evidencia física de cada khipu, transformándola en datos estructurados (esquema KDB, ver sección 3.6).</w:t>
      </w:r>
    </w:p>
    <w:p>
      <w:pPr>
        <w:spacing w:after="160"/>
        <w:jc w:val="both"/>
      </w:pPr>
      <w:r>
        <w:rPr>
          <w:rFonts w:ascii="Calibri" w:cs="Calibri" w:eastAsia="Calibri" w:hAnsi="Calibri"/>
          <w:b/>
          <w:bCs/>
          <w:sz w:val="22"/>
          <w:szCs w:val="22"/>
        </w:rPr>
        <w:t xml:space="preserve">Qué datos requiere: </w:t>
      </w:r>
      <w:r>
        <w:rPr>
          <w:rFonts w:ascii="Calibri" w:cs="Calibri" w:eastAsia="Calibri" w:hAnsi="Calibri"/>
          <w:sz w:val="22"/>
          <w:szCs w:val="22"/>
        </w:rPr>
        <w:t xml:space="preserve">Acceso físico o fotográfico a cada ejemplar, medición directa de hilado, torsión, nudos, longitud, color y terminación de cada cuerda.</w:t>
      </w:r>
    </w:p>
    <w:p>
      <w:pPr>
        <w:spacing w:after="160"/>
        <w:jc w:val="both"/>
      </w:pPr>
      <w:r>
        <w:rPr>
          <w:rFonts w:ascii="Calibri" w:cs="Calibri" w:eastAsia="Calibri" w:hAnsi="Calibri"/>
          <w:b/>
          <w:bCs/>
          <w:sz w:val="22"/>
          <w:szCs w:val="22"/>
        </w:rPr>
        <w:t xml:space="preserve">Ventajas: </w:t>
      </w:r>
      <w:r>
        <w:rPr>
          <w:rFonts w:ascii="Calibri" w:cs="Calibri" w:eastAsia="Calibri" w:hAnsi="Calibri"/>
          <w:sz w:val="22"/>
          <w:szCs w:val="22"/>
        </w:rPr>
        <w:t xml:space="preserve">Es el fundamento habilitante de todas las metodologías cuantitativas y computacionales posteriores; permite comparabilidad entre khipus de distintas colecciones y países.</w:t>
      </w:r>
    </w:p>
    <w:p>
      <w:pPr>
        <w:spacing w:after="160"/>
        <w:jc w:val="both"/>
      </w:pPr>
      <w:r>
        <w:rPr>
          <w:rFonts w:ascii="Calibri" w:cs="Calibri" w:eastAsia="Calibri" w:hAnsi="Calibri"/>
          <w:b/>
          <w:bCs/>
          <w:sz w:val="22"/>
          <w:szCs w:val="22"/>
        </w:rPr>
        <w:t xml:space="preserve">Limitaciones: </w:t>
      </w:r>
      <w:r>
        <w:rPr>
          <w:rFonts w:ascii="Calibri" w:cs="Calibri" w:eastAsia="Calibri" w:hAnsi="Calibri"/>
          <w:sz w:val="22"/>
          <w:szCs w:val="22"/>
        </w:rPr>
        <w:t xml:space="preserve">Fuerte sesgo de cobertura: el corpus digitalizado (629-650 khipus según la fuente y el año, ver sección 7) representa menos de la mitad de los 1,386 khipus conocidos en colecciones físicas (Medrano 2021); sesgo geográfico marcado hacia la costa desértica del Pacífico, donde las fibras orgánicas se preservan mejor, con escasa representación de las tierras altas y ausencia total de ejemplares del núcleo imperial cuzqueño (Clindaniel 2019, p.35); dependencia del juicio individual del catalogador en decisiones ambiguas (p.ej. dirección de lectura por defecto en khipus fragmentarios, Basel Khipu Report, p.2).</w:t>
      </w:r>
    </w:p>
    <w:p>
      <w:pPr>
        <w:spacing w:after="160"/>
        <w:jc w:val="both"/>
      </w:pPr>
      <w:r>
        <w:rPr>
          <w:rFonts w:ascii="Calibri" w:cs="Calibri" w:eastAsia="Calibri" w:hAnsi="Calibri"/>
          <w:b/>
          <w:bCs/>
          <w:sz w:val="22"/>
          <w:szCs w:val="22"/>
        </w:rPr>
        <w:t xml:space="preserve">Resultados que ha producido: </w:t>
      </w:r>
      <w:r>
        <w:rPr>
          <w:rFonts w:ascii="Calibri" w:cs="Calibri" w:eastAsia="Calibri" w:hAnsi="Calibri"/>
          <w:sz w:val="22"/>
          <w:szCs w:val="22"/>
        </w:rPr>
        <w:t xml:space="preserve">La Harvard Khipu Database / Open Khipu Repository, que sostiene directamente los análisis de Clindaniel (2019, 2024) y de Medrano y Khosla (2024); el inventario global de museos de Medrano (2021), construido a partir de 58 fuentes documentales distintas.</w:t>
      </w:r>
    </w:p>
    <w:p>
      <w:pPr>
        <w:pStyle w:val="Heading2"/>
        <w:spacing w:after="160" w:before="340"/>
      </w:pPr>
      <w:r>
        <w:t xml:space="preserve">5.3 Estadística inferencial clásica</w:t>
      </w:r>
    </w:p>
    <w:p>
      <w:pPr>
        <w:spacing w:after="160"/>
        <w:jc w:val="both"/>
      </w:pPr>
      <w:r>
        <w:rPr>
          <w:rFonts w:ascii="Calibri" w:cs="Calibri" w:eastAsia="Calibri" w:hAnsi="Calibri"/>
          <w:b/>
          <w:bCs/>
          <w:sz w:val="22"/>
          <w:szCs w:val="22"/>
        </w:rPr>
        <w:t xml:space="preserve">Qué intenta conseguir: </w:t>
      </w:r>
      <w:r>
        <w:rPr>
          <w:rFonts w:ascii="Calibri" w:cs="Calibri" w:eastAsia="Calibri" w:hAnsi="Calibri"/>
          <w:sz w:val="22"/>
          <w:szCs w:val="22"/>
        </w:rPr>
        <w:t xml:space="preserve">Probar formalmente si un patrón observado (p.ej. una asociación entre color y magnitud numérica) es estadísticamente significativo o podría deberse al azar.</w:t>
      </w:r>
    </w:p>
    <w:p>
      <w:pPr>
        <w:spacing w:after="160"/>
        <w:jc w:val="both"/>
      </w:pPr>
      <w:r>
        <w:rPr>
          <w:rFonts w:ascii="Calibri" w:cs="Calibri" w:eastAsia="Calibri" w:hAnsi="Calibri"/>
          <w:b/>
          <w:bCs/>
          <w:sz w:val="22"/>
          <w:szCs w:val="22"/>
        </w:rPr>
        <w:t xml:space="preserve">Qué datos requiere: </w:t>
      </w:r>
      <w:r>
        <w:rPr>
          <w:rFonts w:ascii="Calibri" w:cs="Calibri" w:eastAsia="Calibri" w:hAnsi="Calibri"/>
          <w:sz w:val="22"/>
          <w:szCs w:val="22"/>
        </w:rPr>
        <w:t xml:space="preserve">Datos tabulares estructurados de un subconjunto suficientemente grande de la base de datos (decenas a cientos de khipus).</w:t>
      </w:r>
    </w:p>
    <w:p>
      <w:pPr>
        <w:spacing w:after="160"/>
        <w:jc w:val="both"/>
      </w:pPr>
      <w:r>
        <w:rPr>
          <w:rFonts w:ascii="Calibri" w:cs="Calibri" w:eastAsia="Calibri" w:hAnsi="Calibri"/>
          <w:b/>
          <w:bCs/>
          <w:sz w:val="22"/>
          <w:szCs w:val="22"/>
        </w:rPr>
        <w:t xml:space="preserve">Ventajas: </w:t>
      </w:r>
      <w:r>
        <w:rPr>
          <w:rFonts w:ascii="Calibri" w:cs="Calibri" w:eastAsia="Calibri" w:hAnsi="Calibri"/>
          <w:sz w:val="22"/>
          <w:szCs w:val="22"/>
        </w:rPr>
        <w:t xml:space="preserve">Permite distinguir patrones robustos de coincidencias espurias; es interpretable y auditable con herramientas estadísticas estándar.</w:t>
      </w:r>
    </w:p>
    <w:p>
      <w:pPr>
        <w:spacing w:after="160"/>
        <w:jc w:val="both"/>
      </w:pPr>
      <w:r>
        <w:rPr>
          <w:rFonts w:ascii="Calibri" w:cs="Calibri" w:eastAsia="Calibri" w:hAnsi="Calibri"/>
          <w:b/>
          <w:bCs/>
          <w:sz w:val="22"/>
          <w:szCs w:val="22"/>
        </w:rPr>
        <w:t xml:space="preserve">Limitaciones: </w:t>
      </w:r>
      <w:r>
        <w:rPr>
          <w:rFonts w:ascii="Calibri" w:cs="Calibri" w:eastAsia="Calibri" w:hAnsi="Calibri"/>
          <w:sz w:val="22"/>
          <w:szCs w:val="22"/>
        </w:rPr>
        <w:t xml:space="preserve">Depende de la calidad y representatividad de la muestra subyacente (ver 5.2); las pruebas de significancia no prueban por sí solas el significado semántico de un patrón, solo su no aleatoriedad.</w:t>
      </w:r>
    </w:p>
    <w:p>
      <w:pPr>
        <w:spacing w:after="160"/>
        <w:jc w:val="both"/>
      </w:pPr>
      <w:r>
        <w:rPr>
          <w:rFonts w:ascii="Calibri" w:cs="Calibri" w:eastAsia="Calibri" w:hAnsi="Calibri"/>
          <w:b/>
          <w:bCs/>
          <w:sz w:val="22"/>
          <w:szCs w:val="22"/>
        </w:rPr>
        <w:t xml:space="preserve">Resultados que ha producido: </w:t>
      </w:r>
      <w:r>
        <w:rPr>
          <w:rFonts w:ascii="Calibri" w:cs="Calibri" w:eastAsia="Calibri" w:hAnsi="Calibri"/>
          <w:sz w:val="22"/>
          <w:szCs w:val="22"/>
        </w:rPr>
        <w:t xml:space="preserve">En Clindaniel (2019): pruebas binomiales sobre 5,708 cuerdas de Inkawasi que muestran una fuerte asociación no aleatoria entre tipo y dirección de nudo (p&lt;0.0001, cap. 3); ANOVA sobre miles de cuerdas de color combinado que confirma la markedness de colores claros/oscuros (F=395.89, p≈4.65×10⁻¹⁶³, cap. 4); regresión logística sobre 269 khipus que vincula el patrón de color (banding/seriación) con el orden de magnitud del valor numérico registrado (p&lt;0.01, cap. 5). En Medrano y Khosla (2024): simulación Monte Carlo que descarta el azar como explicación de la asimetría observada en la “lateralidad” de las sumas (p&lt;0.001).</w:t>
      </w:r>
    </w:p>
    <w:p>
      <w:pPr>
        <w:pStyle w:val="Heading2"/>
        <w:spacing w:after="160" w:before="340"/>
      </w:pPr>
      <w:r>
        <w:t xml:space="preserve">5.4 Búsqueda combinatoria exhaustiva</w:t>
      </w:r>
    </w:p>
    <w:p>
      <w:pPr>
        <w:spacing w:after="160"/>
        <w:jc w:val="both"/>
      </w:pPr>
      <w:r>
        <w:rPr>
          <w:rFonts w:ascii="Calibri" w:cs="Calibri" w:eastAsia="Calibri" w:hAnsi="Calibri"/>
          <w:b/>
          <w:bCs/>
          <w:sz w:val="22"/>
          <w:szCs w:val="22"/>
        </w:rPr>
        <w:t xml:space="preserve">Qué intenta conseguir: </w:t>
      </w:r>
      <w:r>
        <w:rPr>
          <w:rFonts w:ascii="Calibri" w:cs="Calibri" w:eastAsia="Calibri" w:hAnsi="Calibri"/>
          <w:sz w:val="22"/>
          <w:szCs w:val="22"/>
        </w:rPr>
        <w:t xml:space="preserve">Identificar automáticamente, sobre la totalidad de un corpus, todas las instancias posibles de un conjunto predefinido de relaciones aritméticas entre cuerdas.</w:t>
      </w:r>
    </w:p>
    <w:p>
      <w:pPr>
        <w:spacing w:after="160"/>
        <w:jc w:val="both"/>
      </w:pPr>
      <w:r>
        <w:rPr>
          <w:rFonts w:ascii="Calibri" w:cs="Calibri" w:eastAsia="Calibri" w:hAnsi="Calibri"/>
          <w:b/>
          <w:bCs/>
          <w:sz w:val="22"/>
          <w:szCs w:val="22"/>
        </w:rPr>
        <w:t xml:space="preserve">Qué datos requiere: </w:t>
      </w:r>
      <w:r>
        <w:rPr>
          <w:rFonts w:ascii="Calibri" w:cs="Calibri" w:eastAsia="Calibri" w:hAnsi="Calibri"/>
          <w:sz w:val="22"/>
          <w:szCs w:val="22"/>
        </w:rPr>
        <w:t xml:space="preserve">Valores numéricos ya descifrados y estructurados de cada cuerda del corpus completo (en Medrano y Khosla 2024, ~116,246 nudos y 55,720 cuerdas).</w:t>
      </w:r>
    </w:p>
    <w:p>
      <w:pPr>
        <w:spacing w:after="160"/>
        <w:jc w:val="both"/>
      </w:pPr>
      <w:r>
        <w:rPr>
          <w:rFonts w:ascii="Calibri" w:cs="Calibri" w:eastAsia="Calibri" w:hAnsi="Calibri"/>
          <w:b/>
          <w:bCs/>
          <w:sz w:val="22"/>
          <w:szCs w:val="22"/>
        </w:rPr>
        <w:t xml:space="preserve">Ventajas: </w:t>
      </w:r>
      <w:r>
        <w:rPr>
          <w:rFonts w:ascii="Calibri" w:cs="Calibri" w:eastAsia="Calibri" w:hAnsi="Calibri"/>
          <w:sz w:val="22"/>
          <w:szCs w:val="22"/>
        </w:rPr>
        <w:t xml:space="preserve">Permite generalizar relaciones antes documentadas solo a nivel de especímenes individuales (las “relaciones de Ascher” originales, identificadas manualmente en solo 80 de 235 khipus) a un corpus de 650 khipus completo, sin sesgo de selección del investigador.</w:t>
      </w:r>
    </w:p>
    <w:p>
      <w:pPr>
        <w:spacing w:after="160"/>
        <w:jc w:val="both"/>
      </w:pPr>
      <w:r>
        <w:rPr>
          <w:rFonts w:ascii="Calibri" w:cs="Calibri" w:eastAsia="Calibri" w:hAnsi="Calibri"/>
          <w:b/>
          <w:bCs/>
          <w:sz w:val="22"/>
          <w:szCs w:val="22"/>
        </w:rPr>
        <w:t xml:space="preserve">Limitaciones: </w:t>
      </w:r>
      <w:r>
        <w:rPr>
          <w:rFonts w:ascii="Calibri" w:cs="Calibri" w:eastAsia="Calibri" w:hAnsi="Calibri"/>
          <w:sz w:val="22"/>
          <w:szCs w:val="22"/>
        </w:rPr>
        <w:t xml:space="preserve">El propio estudio reconoce coincidencias numéricas espurias en relaciones de baja especificidad (p.ej. solo el 15% de las ocurrencias de la relación “Pendant Subsidiary Difference” implican una diferencia mayor a 10, sugiriendo que el resto podrían ser azar) (Medrano y Khosla 2024, p.19).</w:t>
      </w:r>
    </w:p>
    <w:p>
      <w:pPr>
        <w:spacing w:after="160"/>
        <w:jc w:val="both"/>
      </w:pPr>
      <w:r>
        <w:rPr>
          <w:rFonts w:ascii="Calibri" w:cs="Calibri" w:eastAsia="Calibri" w:hAnsi="Calibri"/>
          <w:b/>
          <w:bCs/>
          <w:sz w:val="22"/>
          <w:szCs w:val="22"/>
        </w:rPr>
        <w:t xml:space="preserve">Resultados que ha producido: </w:t>
      </w:r>
      <w:r>
        <w:rPr>
          <w:rFonts w:ascii="Calibri" w:cs="Calibri" w:eastAsia="Calibri" w:hAnsi="Calibri"/>
          <w:sz w:val="22"/>
          <w:szCs w:val="22"/>
        </w:rPr>
        <w:t xml:space="preserve">La cuantificación de que al menos el 74% de los 650 khipus del corpus exhiben una o más de nueve relaciones aritméticas generalizadas (Medrano y Khosla 2024); la revisión cuantitativa del papel de las cuerdas superiores (top cords); el reagrupamiento del khipu fragmentado KH0468.</w:t>
      </w:r>
    </w:p>
    <w:p>
      <w:pPr>
        <w:pStyle w:val="Heading2"/>
        <w:spacing w:after="160" w:before="340"/>
      </w:pPr>
      <w:r>
        <w:t xml:space="preserve">5.5 Aprendizaje profundo / procesamiento de lenguaje natural</w:t>
      </w:r>
    </w:p>
    <w:p>
      <w:pPr>
        <w:spacing w:after="160"/>
        <w:jc w:val="both"/>
      </w:pPr>
      <w:r>
        <w:rPr>
          <w:rFonts w:ascii="Calibri" w:cs="Calibri" w:eastAsia="Calibri" w:hAnsi="Calibri"/>
          <w:b/>
          <w:bCs/>
          <w:sz w:val="22"/>
          <w:szCs w:val="22"/>
        </w:rPr>
        <w:t xml:space="preserve">Qué intenta conseguir: </w:t>
      </w:r>
      <w:r>
        <w:rPr>
          <w:rFonts w:ascii="Calibri" w:cs="Calibri" w:eastAsia="Calibri" w:hAnsi="Calibri"/>
          <w:sz w:val="22"/>
          <w:szCs w:val="22"/>
        </w:rPr>
        <w:t xml:space="preserve">Aprender representaciones (embeddings) del contexto de uso de cada color de cuerda sin supervisión humana previa, para inferir la estructura semántica del sistema de color a escala de corpus completo.</w:t>
      </w:r>
    </w:p>
    <w:p>
      <w:pPr>
        <w:spacing w:after="160"/>
        <w:jc w:val="both"/>
      </w:pPr>
      <w:r>
        <w:rPr>
          <w:rFonts w:ascii="Calibri" w:cs="Calibri" w:eastAsia="Calibri" w:hAnsi="Calibri"/>
          <w:b/>
          <w:bCs/>
          <w:sz w:val="22"/>
          <w:szCs w:val="22"/>
        </w:rPr>
        <w:t xml:space="preserve">Qué datos requiere: </w:t>
      </w:r>
      <w:r>
        <w:rPr>
          <w:rFonts w:ascii="Calibri" w:cs="Calibri" w:eastAsia="Calibri" w:hAnsi="Calibri"/>
          <w:sz w:val="22"/>
          <w:szCs w:val="22"/>
        </w:rPr>
        <w:t xml:space="preserve">Secuencias de códigos de color estructurados (KCCS) de todo el corpus digitalizado; en Clindaniel (2024), 629 khipus, 6,592 grupos de cuerdas, 48,681 registros de color.</w:t>
      </w:r>
    </w:p>
    <w:p>
      <w:pPr>
        <w:spacing w:after="160"/>
        <w:jc w:val="both"/>
      </w:pPr>
      <w:r>
        <w:rPr>
          <w:rFonts w:ascii="Calibri" w:cs="Calibri" w:eastAsia="Calibri" w:hAnsi="Calibri"/>
          <w:b/>
          <w:bCs/>
          <w:sz w:val="22"/>
          <w:szCs w:val="22"/>
        </w:rPr>
        <w:t xml:space="preserve">Ventajas: </w:t>
      </w:r>
      <w:r>
        <w:rPr>
          <w:rFonts w:ascii="Calibri" w:cs="Calibri" w:eastAsia="Calibri" w:hAnsi="Calibri"/>
          <w:sz w:val="22"/>
          <w:szCs w:val="22"/>
        </w:rPr>
        <w:t xml:space="preserve">No requiere etiquetado manual de significado (aprendizaje autosupervisado); permite detectar patrones de polisemia y de oposición semántica que serían inviables de cuantificar manualmente; es reproducible (código y datos publicados en Zenodo).</w:t>
      </w:r>
    </w:p>
    <w:p>
      <w:pPr>
        <w:spacing w:after="160"/>
        <w:jc w:val="both"/>
      </w:pPr>
      <w:r>
        <w:rPr>
          <w:rFonts w:ascii="Calibri" w:cs="Calibri" w:eastAsia="Calibri" w:hAnsi="Calibri"/>
          <w:b/>
          <w:bCs/>
          <w:sz w:val="22"/>
          <w:szCs w:val="22"/>
        </w:rPr>
        <w:t xml:space="preserve">Limitaciones: </w:t>
      </w:r>
      <w:r>
        <w:rPr>
          <w:rFonts w:ascii="Calibri" w:cs="Calibri" w:eastAsia="Calibri" w:hAnsi="Calibri"/>
          <w:sz w:val="22"/>
          <w:szCs w:val="22"/>
        </w:rPr>
        <w:t xml:space="preserve">Solo modela color; no incorpora otras variables potencialmente relevantes (material de la cuerda, jerarquía estructural); vulnerable, en principio, a sesgos tafonómicos de registro (aunque el propio estudio argumenta que el patrón observado en clústeres es demasiado sistemático para explicarse solo por eso); interpretación de los clústeres resultantes aún requiere validación cualitativa experta.</w:t>
      </w:r>
    </w:p>
    <w:p>
      <w:pPr>
        <w:spacing w:after="160"/>
        <w:jc w:val="both"/>
      </w:pPr>
      <w:r>
        <w:rPr>
          <w:rFonts w:ascii="Calibri" w:cs="Calibri" w:eastAsia="Calibri" w:hAnsi="Calibri"/>
          <w:b/>
          <w:bCs/>
          <w:sz w:val="22"/>
          <w:szCs w:val="22"/>
        </w:rPr>
        <w:t xml:space="preserve">Resultados que ha producido: </w:t>
      </w:r>
      <w:r>
        <w:rPr>
          <w:rFonts w:ascii="Calibri" w:cs="Calibri" w:eastAsia="Calibri" w:hAnsi="Calibri"/>
          <w:sz w:val="22"/>
          <w:szCs w:val="22"/>
        </w:rPr>
        <w:t xml:space="preserve">El análisis de Clindaniel (2024), descrito en profundidad en la sección 8 de este documento: evidencia de que el color de cuerda constituye un sistema semántico coherente, organizado en tres niveles (conjuntos fundacional, de extensión y de refinamiento), con alta polisemia.</w:t>
      </w:r>
    </w:p>
    <w:p>
      <w:pPr>
        <w:pStyle w:val="Heading2"/>
        <w:spacing w:after="160" w:before="340"/>
      </w:pPr>
      <w:r>
        <w:t xml:space="preserve">5.6 Estandarización de nomenclatura y datos como método habilitante</w:t>
      </w:r>
    </w:p>
    <w:p>
      <w:pPr>
        <w:spacing w:after="160"/>
        <w:jc w:val="both"/>
      </w:pPr>
      <w:r>
        <w:rPr>
          <w:rFonts w:ascii="Calibri" w:cs="Calibri" w:eastAsia="Calibri" w:hAnsi="Calibri"/>
          <w:b/>
          <w:bCs/>
          <w:sz w:val="22"/>
          <w:szCs w:val="22"/>
        </w:rPr>
        <w:t xml:space="preserve">Qué intenta conseguir: </w:t>
      </w:r>
      <w:r>
        <w:rPr>
          <w:rFonts w:ascii="Calibri" w:cs="Calibri" w:eastAsia="Calibri" w:hAnsi="Calibri"/>
          <w:sz w:val="22"/>
          <w:szCs w:val="22"/>
        </w:rPr>
        <w:t xml:space="preserve">Resolver ambigüedades e inconsistencias de identificación de especímenes que dificultan la comparabilidad y reproducibilidad entre estudios.</w:t>
      </w:r>
    </w:p>
    <w:p>
      <w:pPr>
        <w:spacing w:after="160"/>
        <w:jc w:val="both"/>
      </w:pPr>
      <w:r>
        <w:rPr>
          <w:rFonts w:ascii="Calibri" w:cs="Calibri" w:eastAsia="Calibri" w:hAnsi="Calibri"/>
          <w:b/>
          <w:bCs/>
          <w:sz w:val="22"/>
          <w:szCs w:val="22"/>
        </w:rPr>
        <w:t xml:space="preserve">Qué datos requiere: </w:t>
      </w:r>
      <w:r>
        <w:rPr>
          <w:rFonts w:ascii="Calibri" w:cs="Calibri" w:eastAsia="Calibri" w:hAnsi="Calibri"/>
          <w:sz w:val="22"/>
          <w:szCs w:val="22"/>
        </w:rPr>
        <w:t xml:space="preserve">El historial completo de catalogación de cada khipu (todos los nombres/códigos previos asignados, su procedencia institucional).</w:t>
      </w:r>
    </w:p>
    <w:p>
      <w:pPr>
        <w:spacing w:after="160"/>
        <w:jc w:val="both"/>
      </w:pPr>
      <w:r>
        <w:rPr>
          <w:rFonts w:ascii="Calibri" w:cs="Calibri" w:eastAsia="Calibri" w:hAnsi="Calibri"/>
          <w:b/>
          <w:bCs/>
          <w:sz w:val="22"/>
          <w:szCs w:val="22"/>
        </w:rPr>
        <w:t xml:space="preserve">Ventajas: </w:t>
      </w:r>
      <w:r>
        <w:rPr>
          <w:rFonts w:ascii="Calibri" w:cs="Calibri" w:eastAsia="Calibri" w:hAnsi="Calibri"/>
          <w:sz w:val="22"/>
          <w:szCs w:val="22"/>
        </w:rPr>
        <w:t xml:space="preserve">Habilita la comparabilidad entre estudios pasados y futuros; corrige inconsistencias documentadas (p.ej. prácticas de renombramiento que ocultaban la autoría real de ciertos registros, ver sección 7); tiene una dimensión ética explícita de reconocimiento de contribuciones.</w:t>
      </w:r>
    </w:p>
    <w:p>
      <w:pPr>
        <w:spacing w:after="160"/>
        <w:jc w:val="both"/>
      </w:pPr>
      <w:r>
        <w:rPr>
          <w:rFonts w:ascii="Calibri" w:cs="Calibri" w:eastAsia="Calibri" w:hAnsi="Calibri"/>
          <w:b/>
          <w:bCs/>
          <w:sz w:val="22"/>
          <w:szCs w:val="22"/>
        </w:rPr>
        <w:t xml:space="preserve">Limitaciones: </w:t>
      </w:r>
      <w:r>
        <w:rPr>
          <w:rFonts w:ascii="Calibri" w:cs="Calibri" w:eastAsia="Calibri" w:hAnsi="Calibri"/>
          <w:sz w:val="22"/>
          <w:szCs w:val="22"/>
        </w:rPr>
        <w:t xml:space="preserve">Genera, durante la transición, dos sistemas de referencia paralelos (códigos antiguos AS/UR/HP/QU/JC/LL y nuevos KH####) para los mismos objetos; Brezine et al. (2024) no especifican en el texto analizado una estrategia editorial de citación dual para la literatura futura.</w:t>
      </w:r>
    </w:p>
    <w:p>
      <w:pPr>
        <w:spacing w:after="160"/>
        <w:jc w:val="both"/>
      </w:pPr>
      <w:r>
        <w:rPr>
          <w:rFonts w:ascii="Calibri" w:cs="Calibri" w:eastAsia="Calibri" w:hAnsi="Calibri"/>
          <w:b/>
          <w:bCs/>
          <w:sz w:val="22"/>
          <w:szCs w:val="22"/>
        </w:rPr>
        <w:t xml:space="preserve">Resultados que ha producido: </w:t>
      </w:r>
      <w:r>
        <w:rPr>
          <w:rFonts w:ascii="Calibri" w:cs="Calibri" w:eastAsia="Calibri" w:hAnsi="Calibri"/>
          <w:sz w:val="22"/>
          <w:szCs w:val="22"/>
        </w:rPr>
        <w:t xml:space="preserve">La convención KH#### aplicada a 630 khipus del OKR (Brezine et al. 2024), ya adoptada en Medrano y Khosla (2024) y en Clindaniel (2024).</w:t>
      </w:r>
    </w:p>
    <w:p>
      <w:pPr>
        <w:pStyle w:val="Heading1"/>
        <w:pageBreakBefore/>
        <w:spacing w:after="240" w:before="480"/>
      </w:pPr>
      <w:r>
        <w:t xml:space="preserve">6. Hallazgos y conocimientos consolidados</w:t>
      </w:r>
    </w:p>
    <w:p>
      <w:pPr>
        <w:spacing w:after="160"/>
        <w:jc w:val="both"/>
      </w:pPr>
      <w:r>
        <w:rPr>
          <w:rFonts w:ascii="Calibri" w:cs="Calibri" w:eastAsia="Calibri" w:hAnsi="Calibri"/>
          <w:sz w:val="22"/>
          <w:szCs w:val="22"/>
        </w:rPr>
        <w:t xml:space="preserve">Esta sección distingue explícitamente entre conocimiento ampliamente respaldado (por evidencia convergente de varias fuentes o métodos independientes), hipótesis con apoyo parcial, e interpretaciones abiertamente especulativas señaladas como tales por sus propios autores. No se presenta ninguna hipótesis como hecho consolidado.</w:t>
      </w:r>
    </w:p>
    <w:p>
      <w:pPr>
        <w:pStyle w:val="Heading2"/>
        <w:spacing w:after="160" w:before="340"/>
      </w:pPr>
      <w:r>
        <w:t xml:space="preserve">6.1 Conocimiento ampliamente respaldado</w:t>
      </w:r>
    </w:p>
    <w:p>
      <w:pPr>
        <w:pStyle w:val="ListParagraph"/>
        <w:numPr>
          <w:ilvl w:val="0"/>
          <w:numId w:val="1"/>
        </w:numPr>
        <w:spacing w:after="90"/>
      </w:pPr>
      <w:r>
        <w:rPr>
          <w:rFonts w:ascii="Calibri" w:cs="Calibri" w:eastAsia="Calibri" w:hAnsi="Calibri"/>
          <w:b/>
          <w:bCs/>
          <w:sz w:val="22"/>
          <w:szCs w:val="22"/>
        </w:rPr>
        <w:t xml:space="preserve">El código numérico decimal del quipu está descifrado. </w:t>
      </w:r>
      <w:r>
        <w:rPr>
          <w:rFonts w:ascii="Calibri" w:cs="Calibri" w:eastAsia="Calibri" w:hAnsi="Calibri"/>
          <w:sz w:val="22"/>
          <w:szCs w:val="22"/>
        </w:rPr>
        <w:t xml:space="preserve">Desde Locke (1912/1923), confirmado y cuantificado por todas las fuentes académicas del corpus (92% de las cuerdas del OKR/KDB siguen esta notación, según cálculo de Clindaniel 2019, p.67).</w:t>
      </w:r>
    </w:p>
    <w:p>
      <w:pPr>
        <w:pStyle w:val="ListParagraph"/>
        <w:numPr>
          <w:ilvl w:val="0"/>
          <w:numId w:val="1"/>
        </w:numPr>
        <w:spacing w:after="90"/>
      </w:pPr>
      <w:r>
        <w:rPr>
          <w:rFonts w:ascii="Calibri" w:cs="Calibri" w:eastAsia="Calibri" w:hAnsi="Calibri"/>
          <w:b/>
          <w:bCs/>
          <w:sz w:val="22"/>
          <w:szCs w:val="22"/>
        </w:rPr>
        <w:t xml:space="preserve">El color de cuerda no es aleatorio: constituye un sistema semiótico sistemático. </w:t>
      </w:r>
      <w:r>
        <w:rPr>
          <w:rFonts w:ascii="Calibri" w:cs="Calibri" w:eastAsia="Calibri" w:hAnsi="Calibri"/>
          <w:sz w:val="22"/>
          <w:szCs w:val="22"/>
        </w:rPr>
        <w:t xml:space="preserve">Este es el hallazgo con mayor convergencia de evidencia independiente en todo el corpus: apoyado cualitativamente por testimonios cronísticos (Garcilaso, Calancha — Medrano 2021), etnográficamente por el testimonio de un khipukamayuq de Anchucaya (Hyland 2016), arqueológicamente por la correspondencia estadísticamente significativa entre las varas envueltas de Inkawasi y las combinaciones de color de las cuerdas (83.7% y 67.4% de coincidencia, p&lt;0.01 — Clindaniel 2019), y computacionalmente a escala de todo el corpus digitalizado mediante un modelo de aprendizaje profundo (79% de las cuerdas del OKR caen en 30 clústeres semánticos distintos — Clindaniel 2024). Cuatro líneas de evidencia metodológicamente independientes —histórica, etnográfica, arqueológica-estadística y computacional— convergen en la misma conclusión general.</w:t>
      </w:r>
    </w:p>
    <w:p>
      <w:pPr>
        <w:pStyle w:val="ListParagraph"/>
        <w:numPr>
          <w:ilvl w:val="0"/>
          <w:numId w:val="1"/>
        </w:numPr>
        <w:spacing w:after="90"/>
      </w:pPr>
      <w:r>
        <w:rPr>
          <w:rFonts w:ascii="Calibri" w:cs="Calibri" w:eastAsia="Calibri" w:hAnsi="Calibri"/>
          <w:b/>
          <w:bCs/>
          <w:sz w:val="22"/>
          <w:szCs w:val="22"/>
        </w:rPr>
        <w:t xml:space="preserve">Las cuerdas superiores (top cords) no son el locus principal de las sumas del khipu. </w:t>
      </w:r>
      <w:r>
        <w:rPr>
          <w:rFonts w:ascii="Calibri" w:cs="Calibri" w:eastAsia="Calibri" w:hAnsi="Calibri"/>
          <w:sz w:val="22"/>
          <w:szCs w:val="22"/>
        </w:rPr>
        <w:t xml:space="preserve">Hallazgo cuantitativo que revisa una caracterización previa asumida desde Locke (1923) y Ascher (1986); Medrano y Khosla (2024) muestran, sobre 650 khipus, que los top cords registran menos del 1% de las sumas del corpus y solo el 28% de ellos (107 de 376) registra sumas o dobles sumas — cifra muy inferior a estimaciones previas del 10% (Ascher 2005) o 9.2% (Mackey 1970) referidas al total de khipus con top cords, no de los top cords mismos.</w:t>
      </w:r>
    </w:p>
    <w:p>
      <w:pPr>
        <w:pStyle w:val="ListParagraph"/>
        <w:numPr>
          <w:ilvl w:val="0"/>
          <w:numId w:val="1"/>
        </w:numPr>
        <w:spacing w:after="90"/>
      </w:pPr>
      <w:r>
        <w:rPr>
          <w:rFonts w:ascii="Calibri" w:cs="Calibri" w:eastAsia="Calibri" w:hAnsi="Calibri"/>
          <w:b/>
          <w:bCs/>
          <w:sz w:val="22"/>
          <w:szCs w:val="22"/>
        </w:rPr>
        <w:t xml:space="preserve">Existe una asociación sistemática entre el patrón de color (bandeado/seriado) y el nivel de agregación de los datos registrados. </w:t>
      </w:r>
      <w:r>
        <w:rPr>
          <w:rFonts w:ascii="Calibri" w:cs="Calibri" w:eastAsia="Calibri" w:hAnsi="Calibri"/>
          <w:sz w:val="22"/>
          <w:szCs w:val="22"/>
        </w:rPr>
        <w:t xml:space="preserve">Confirmada estadísticamente (regresión logística, p&lt;0.01, n=269) en Clindaniel (2019, cap. 5) para el género de contabilidad laboral, generalizando el hallazgo etnográfico original de Hyland (2016) en Anchucaya al registro arqueológico inca.</w:t>
      </w:r>
    </w:p>
    <w:p>
      <w:pPr>
        <w:pStyle w:val="ListParagraph"/>
        <w:numPr>
          <w:ilvl w:val="0"/>
          <w:numId w:val="1"/>
        </w:numPr>
        <w:spacing w:after="90"/>
      </w:pPr>
      <w:r>
        <w:rPr>
          <w:rFonts w:ascii="Calibri" w:cs="Calibri" w:eastAsia="Calibri" w:hAnsi="Calibri"/>
          <w:b/>
          <w:bCs/>
          <w:sz w:val="22"/>
          <w:szCs w:val="22"/>
        </w:rPr>
        <w:t xml:space="preserve">El universo de quipus conocidos supera ampliamente lo estimado hace una década. </w:t>
      </w:r>
      <w:r>
        <w:rPr>
          <w:rFonts w:ascii="Calibri" w:cs="Calibri" w:eastAsia="Calibri" w:hAnsi="Calibri"/>
          <w:sz w:val="22"/>
          <w:szCs w:val="22"/>
        </w:rPr>
        <w:t xml:space="preserve">El inventario de Medrano (2021) documenta al menos 1,386 quipus en 143 colecciones de 22+ países — un aumento del 50% sobre la cifra previa de referencia (923, Urton 2017). Es un hallazgo de tipo catalográfico, no interpretativo, y como tal el más directamente verificable del corpus, aunque el propio autor lo describe como provisional y sujeto a revisión continua.</w:t>
      </w:r>
    </w:p>
    <w:p>
      <w:pPr>
        <w:pStyle w:val="ListParagraph"/>
        <w:numPr>
          <w:ilvl w:val="0"/>
          <w:numId w:val="1"/>
        </w:numPr>
        <w:spacing w:after="90"/>
      </w:pPr>
      <w:r>
        <w:rPr>
          <w:rFonts w:ascii="Calibri" w:cs="Calibri" w:eastAsia="Calibri" w:hAnsi="Calibri"/>
          <w:b/>
          <w:bCs/>
          <w:sz w:val="22"/>
          <w:szCs w:val="22"/>
        </w:rPr>
        <w:t xml:space="preserve">Existe una asociación entre el grado de control político directo del Estado inca y el grado de convencionalización semiótica observado. </w:t>
      </w:r>
      <w:r>
        <w:rPr>
          <w:rFonts w:ascii="Calibri" w:cs="Calibri" w:eastAsia="Calibri" w:hAnsi="Calibri"/>
          <w:sz w:val="22"/>
          <w:szCs w:val="22"/>
        </w:rPr>
        <w:t xml:space="preserve">Documentada en Clindaniel (2019, cap. 5): el patrón color–magnitud es geográficamente constante en casi todo el territorio analizado, con la excepción de Colesuyu (norte de Chile, control inca débil/mixto) y, para dirección de nudo, de Armatambo. Es un hallazgo respaldado por análisis espacial cuantitativo, aunque la explicación causal específica (control político) es interpretación del autor.</w:t>
      </w:r>
    </w:p>
    <w:p>
      <w:pPr>
        <w:pStyle w:val="Heading2"/>
        <w:spacing w:after="160" w:before="340"/>
      </w:pPr>
      <w:r>
        <w:t xml:space="preserve">6.2 Hipótesis con apoyo parcial o preliminar</w:t>
      </w:r>
    </w:p>
    <w:p>
      <w:pPr>
        <w:pStyle w:val="ListParagraph"/>
        <w:numPr>
          <w:ilvl w:val="0"/>
          <w:numId w:val="1"/>
        </w:numPr>
        <w:spacing w:after="90"/>
      </w:pPr>
      <w:r>
        <w:rPr>
          <w:rFonts w:ascii="Calibri" w:cs="Calibri" w:eastAsia="Calibri" w:hAnsi="Calibri"/>
          <w:b/>
          <w:bCs/>
          <w:sz w:val="22"/>
          <w:szCs w:val="22"/>
        </w:rPr>
        <w:t xml:space="preserve">Existen tres niveles jerárquicos en el “vocabulario” de color de los khipus incas (conjuntos fundacional, de extensión y de refinamiento). </w:t>
      </w:r>
      <w:r>
        <w:rPr>
          <w:rFonts w:ascii="Calibri" w:cs="Calibri" w:eastAsia="Calibri" w:hAnsi="Calibri"/>
          <w:sz w:val="22"/>
          <w:szCs w:val="22"/>
        </w:rPr>
        <w:t xml:space="preserve">Propuesta nueva de Clindaniel (2024) a partir del análisis de clústeres del modelo de IA; parcialmente corroborada por su correlación del 75% con los contrastes de color observados en las varas envueltas de Inkawasi, pero sin validación independiente por otro método o corpus distinto.</w:t>
      </w:r>
    </w:p>
    <w:p>
      <w:pPr>
        <w:pStyle w:val="ListParagraph"/>
        <w:numPr>
          <w:ilvl w:val="0"/>
          <w:numId w:val="1"/>
        </w:numPr>
        <w:spacing w:after="90"/>
      </w:pPr>
      <w:r>
        <w:rPr>
          <w:rFonts w:ascii="Calibri" w:cs="Calibri" w:eastAsia="Calibri" w:hAnsi="Calibri"/>
          <w:b/>
          <w:bCs/>
          <w:sz w:val="22"/>
          <w:szCs w:val="22"/>
        </w:rPr>
        <w:t xml:space="preserve">Los colores del “conjunto de refinamiento” corresponden a los conceptos de realeza y lo sagrado descritos por Calancha (1638). </w:t>
      </w:r>
      <w:r>
        <w:rPr>
          <w:rFonts w:ascii="Calibri" w:cs="Calibri" w:eastAsia="Calibri" w:hAnsi="Calibri"/>
          <w:sz w:val="22"/>
          <w:szCs w:val="22"/>
        </w:rPr>
        <w:t xml:space="preserve">El propio Clindaniel (2024, p.25) califica esta conexión explícitamente de “todavía especulativa” y afirma que “se necesita más investigación” — se incluye aquí como ejemplo explícito de una hipótesis correctamente etiquetada como tal por su propio autor.</w:t>
      </w:r>
    </w:p>
    <w:p>
      <w:pPr>
        <w:pStyle w:val="ListParagraph"/>
        <w:numPr>
          <w:ilvl w:val="0"/>
          <w:numId w:val="1"/>
        </w:numPr>
        <w:spacing w:after="90"/>
      </w:pPr>
      <w:r>
        <w:rPr>
          <w:rFonts w:ascii="Calibri" w:cs="Calibri" w:eastAsia="Calibri" w:hAnsi="Calibri"/>
          <w:b/>
          <w:bCs/>
          <w:sz w:val="22"/>
          <w:szCs w:val="22"/>
        </w:rPr>
        <w:t xml:space="preserve">El color de cuerda puede señalar explícitamente operaciones aritméticas (crédito/débito/resultado). </w:t>
      </w:r>
      <w:r>
        <w:rPr>
          <w:rFonts w:ascii="Calibri" w:cs="Calibri" w:eastAsia="Calibri" w:hAnsi="Calibri"/>
          <w:sz w:val="22"/>
          <w:szCs w:val="22"/>
        </w:rPr>
        <w:t xml:space="preserve">Demostrado como “proof of concept” en dos khipus de Inkawasi (UR267A, UR255) por Clindaniel (2019, cap. 4); el propio autor reconoce no haber hallado aún otros khipus de contabilidad de almacén con el mismo esquema exacto, por lo que el alcance de generalización del hallazgo permanece abierto (ver también sección 7, sobre la revisión posterior de Medrano y Khosla).</w:t>
      </w:r>
    </w:p>
    <w:p>
      <w:pPr>
        <w:pStyle w:val="ListParagraph"/>
        <w:numPr>
          <w:ilvl w:val="0"/>
          <w:numId w:val="1"/>
        </w:numPr>
        <w:spacing w:after="90"/>
      </w:pPr>
      <w:r>
        <w:rPr>
          <w:rFonts w:ascii="Calibri" w:cs="Calibri" w:eastAsia="Calibri" w:hAnsi="Calibri"/>
          <w:b/>
          <w:bCs/>
          <w:sz w:val="22"/>
          <w:szCs w:val="22"/>
        </w:rPr>
        <w:t xml:space="preserve">El material de la cuerda (algodón, camélido, cabello humano) podría aportar matices semánticos adicionales al color. </w:t>
      </w:r>
      <w:r>
        <w:rPr>
          <w:rFonts w:ascii="Calibri" w:cs="Calibri" w:eastAsia="Calibri" w:hAnsi="Calibri"/>
          <w:sz w:val="22"/>
          <w:szCs w:val="22"/>
        </w:rPr>
        <w:t xml:space="preserve">Hipótesis abierta, explícitamente especulativa, planteada por Clindaniel (2024, p.27-28) a partir de un patrón observado en solo dos khipus (KH0348, KH0289); no ha sido probada de forma sistemática en el corpus analizado.</w:t>
      </w:r>
    </w:p>
    <w:p>
      <w:pPr>
        <w:pStyle w:val="Heading2"/>
        <w:spacing w:after="160" w:before="340"/>
      </w:pPr>
      <w:r>
        <w:t xml:space="preserve">6.3 Interpretaciones y marcos conceptuales (no verificables empíricamente en sí mismos)</w:t>
      </w:r>
    </w:p>
    <w:p>
      <w:pPr>
        <w:pStyle w:val="ListParagraph"/>
        <w:numPr>
          <w:ilvl w:val="0"/>
          <w:numId w:val="1"/>
        </w:numPr>
        <w:spacing w:after="90"/>
      </w:pPr>
      <w:r>
        <w:rPr>
          <w:rFonts w:ascii="Calibri" w:cs="Calibri" w:eastAsia="Calibri" w:hAnsi="Calibri"/>
          <w:b/>
          <w:bCs/>
          <w:sz w:val="22"/>
          <w:szCs w:val="22"/>
        </w:rPr>
        <w:t xml:space="preserve">El “milenio quipu” (Medrano 2021) </w:t>
      </w:r>
      <w:r>
        <w:rPr>
          <w:rFonts w:ascii="Calibri" w:cs="Calibri" w:eastAsia="Calibri" w:hAnsi="Calibri"/>
          <w:sz w:val="22"/>
          <w:szCs w:val="22"/>
        </w:rPr>
        <w:t xml:space="preserve">como marco narrativo unificador de mil años de historia andina — presentado explícitamente por su autor como una propuesta interpretativa, no como un hecho dado (Medrano 2021, p.24-25).</w:t>
      </w:r>
    </w:p>
    <w:p>
      <w:pPr>
        <w:pStyle w:val="ListParagraph"/>
        <w:numPr>
          <w:ilvl w:val="0"/>
          <w:numId w:val="1"/>
        </w:numPr>
        <w:spacing w:after="90"/>
      </w:pPr>
      <w:r>
        <w:rPr>
          <w:rFonts w:ascii="Calibri" w:cs="Calibri" w:eastAsia="Calibri" w:hAnsi="Calibri"/>
          <w:b/>
          <w:bCs/>
          <w:sz w:val="22"/>
          <w:szCs w:val="22"/>
        </w:rPr>
        <w:t xml:space="preserve">Los signos no numéricos del khipu funcionan como “dicent symbolic legisigns” peircianos organizados jerárquicamente. </w:t>
      </w:r>
      <w:r>
        <w:rPr>
          <w:rFonts w:ascii="Calibri" w:cs="Calibri" w:eastAsia="Calibri" w:hAnsi="Calibri"/>
          <w:sz w:val="22"/>
          <w:szCs w:val="22"/>
        </w:rPr>
        <w:t xml:space="preserve">Marco teórico de Clindaniel (2019) que organiza e interpreta los hallazgos empíricos de dirección de nudo, color y patrón de banding/seriación; es una lente interpretativa productiva, corroborada por los datos que el propio autor recoge, pero —como todo marco teórico— no es en sí misma una hipótesis falsable independiente de esos datos.</w:t>
      </w:r>
    </w:p>
    <w:p>
      <w:pPr>
        <w:pStyle w:val="Heading1"/>
        <w:pageBreakBefore/>
        <w:spacing w:after="240" w:before="480"/>
      </w:pPr>
      <w:r>
        <w:t xml:space="preserve">7. Debates, contradicciones y preguntas abiertas</w:t>
      </w:r>
    </w:p>
    <w:p>
      <w:pPr>
        <w:spacing w:after="160"/>
        <w:jc w:val="both"/>
      </w:pPr>
      <w:r>
        <w:rPr>
          <w:rFonts w:ascii="Calibri" w:cs="Calibri" w:eastAsia="Calibri" w:hAnsi="Calibri"/>
          <w:sz w:val="22"/>
          <w:szCs w:val="22"/>
        </w:rPr>
        <w:t xml:space="preserve">Esta es la sección más importante para entender el estado real (no idealizado) del campo. Se documentan aquí desacuerdos explícitos entre investigadores, revisiones de hallazgos previos, inconsistencias entre fuentes y preguntas que ninguna fuente del corpus da por resueltas. Cuando existe una discrepancia, se indica qué fuente sostiene cada posición.</w:t>
      </w:r>
    </w:p>
    <w:p>
      <w:pPr>
        <w:pStyle w:val="Heading2"/>
        <w:spacing w:after="160" w:before="340"/>
      </w:pPr>
      <w:r>
        <w:t xml:space="preserve">7.1 ¿Qué significa el color blanco en contextos de contabilidad de almacén? Un desacuerdo activo y documentado</w:t>
      </w:r>
    </w:p>
    <w:p>
      <w:pPr>
        <w:spacing w:after="160"/>
        <w:jc w:val="both"/>
      </w:pPr>
      <w:r>
        <w:rPr>
          <w:rFonts w:ascii="Calibri" w:cs="Calibri" w:eastAsia="Calibri" w:hAnsi="Calibri"/>
          <w:sz w:val="22"/>
          <w:szCs w:val="22"/>
        </w:rPr>
        <w:t xml:space="preserve">Este es el debate más claramente documentado y más productivo del corpus, porque es visible en tiempo real a través de tres fuentes que dialogan explícitamente entre sí.</w:t>
      </w:r>
    </w:p>
    <w:p>
      <w:pPr>
        <w:pStyle w:val="ListParagraph"/>
        <w:numPr>
          <w:ilvl w:val="0"/>
          <w:numId w:val="1"/>
        </w:numPr>
        <w:spacing w:after="90"/>
      </w:pPr>
      <w:r>
        <w:rPr>
          <w:rFonts w:ascii="Calibri" w:cs="Calibri" w:eastAsia="Calibri" w:hAnsi="Calibri"/>
          <w:b/>
          <w:bCs/>
          <w:sz w:val="22"/>
          <w:szCs w:val="22"/>
        </w:rPr>
        <w:t xml:space="preserve">Posición de Clindaniel (2019, cap. 4): </w:t>
      </w:r>
      <w:r>
        <w:rPr>
          <w:rFonts w:ascii="Calibri" w:cs="Calibri" w:eastAsia="Calibri" w:hAnsi="Calibri"/>
          <w:sz w:val="22"/>
          <w:szCs w:val="22"/>
        </w:rPr>
        <w:t xml:space="preserve">en los khipus KH0503 y KH0491 de Inkawasi, el color de cuerda señala directamente el rol aritmético de cada cuerda dentro de una operación de resta: blanco (W) = suma/crédito, ámbar café (AB) = resta/débito, la combinación moteada AB:MB = resultado (en KH0503); los roles se invierten parcialmente en KH0491 (AB = suma, café medio MB = resta), interpretado como un mecanismo de verificación cruzada entre un par de khipus “emparejados”.</w:t>
      </w:r>
    </w:p>
    <w:p>
      <w:pPr>
        <w:pStyle w:val="ListParagraph"/>
        <w:numPr>
          <w:ilvl w:val="0"/>
          <w:numId w:val="1"/>
        </w:numPr>
        <w:spacing w:after="90"/>
      </w:pPr>
      <w:r>
        <w:rPr>
          <w:rFonts w:ascii="Calibri" w:cs="Calibri" w:eastAsia="Calibri" w:hAnsi="Calibri"/>
          <w:b/>
          <w:bCs/>
          <w:sz w:val="22"/>
          <w:szCs w:val="22"/>
        </w:rPr>
        <w:t xml:space="preserve">Posición de Medrano y Khosla (2024, p.16): </w:t>
      </w:r>
      <w:r>
        <w:rPr>
          <w:rFonts w:ascii="Calibri" w:cs="Calibri" w:eastAsia="Calibri" w:hAnsi="Calibri"/>
          <w:sz w:val="22"/>
          <w:szCs w:val="22"/>
        </w:rPr>
        <w:t xml:space="preserve">al analizar el mismo fenómeno a escala de 650 khipus, encuentran que el 41% de los clústeres de cuerdas suma comienzan con una cuerda blanca (frente al 32% de los clústeres en general) y proponen, en cambio, que el blanco funciona como marcador funcional del límite de un clúster de suma (“white served as a functional marker for sums”), no como codificador de una operación aritmética específica. Citan textualmente su revisión: “We instead propose that white served as a functional marker for sums” (p.16), en diálogo directo y explícito con la interpretación de Clindaniel (2019).</w:t>
      </w:r>
    </w:p>
    <w:p>
      <w:pPr>
        <w:pStyle w:val="ListParagraph"/>
        <w:numPr>
          <w:ilvl w:val="0"/>
          <w:numId w:val="1"/>
        </w:numPr>
        <w:spacing w:after="90"/>
      </w:pPr>
      <w:r>
        <w:rPr>
          <w:rFonts w:ascii="Calibri" w:cs="Calibri" w:eastAsia="Calibri" w:hAnsi="Calibri"/>
          <w:b/>
          <w:bCs/>
          <w:sz w:val="22"/>
          <w:szCs w:val="22"/>
        </w:rPr>
        <w:t xml:space="preserve">Posición de Clindaniel (2024, p.3-4): </w:t>
      </w:r>
      <w:r>
        <w:rPr>
          <w:rFonts w:ascii="Calibri" w:cs="Calibri" w:eastAsia="Calibri" w:hAnsi="Calibri"/>
          <w:sz w:val="22"/>
          <w:szCs w:val="22"/>
        </w:rPr>
        <w:t xml:space="preserve">al escribir posteriormente “Colorful Insights”, Clindaniel presenta ambas lecturas sin resolver la tensión entre ellas, señalando explícitamente: “even if we accept Medrano and Khosla’s suggestion that these white cords record sums, we must grapple with the fact that white seems to play the role of sum cord in the context of KH0503 and light brown seems to take on this same role in KH0491” — es decir, el propio autor original de la primera interpretación reconoce en 2024 que el debate sigue abierto y que ninguna de las dos lecturas explica por completo el patrón observado.</w:t>
      </w:r>
    </w:p>
    <w:p>
      <w:pPr>
        <w:spacing w:after="160"/>
        <w:jc w:val="both"/>
      </w:pPr>
      <w:r>
        <w:rPr>
          <w:rFonts w:ascii="Calibri" w:cs="Calibri" w:eastAsia="Calibri" w:hAnsi="Calibri"/>
          <w:sz w:val="22"/>
          <w:szCs w:val="22"/>
        </w:rPr>
        <w:t xml:space="preserve">Este caso es valioso para la síntesis porque documenta, dentro del propio corpus analizado, el proceso normal de revisión científica entre colegas cercanos —no una controversia externa— y muestra que ni siquiera el desciframiento más avanzado del corpus (el modelo de IA de 2024) logra zanjar por completo esta pregunta específica.</w:t>
      </w:r>
    </w:p>
    <w:p>
      <w:pPr>
        <w:pStyle w:val="Heading2"/>
        <w:spacing w:after="160" w:before="340"/>
      </w:pPr>
      <w:r>
        <w:t xml:space="preserve">7.2 Dirección de nudo: ¿Z siempre no marcado? Excepciones documentadas</w:t>
      </w:r>
    </w:p>
    <w:p>
      <w:pPr>
        <w:spacing w:after="160"/>
        <w:jc w:val="both"/>
      </w:pPr>
      <w:r>
        <w:rPr>
          <w:rFonts w:ascii="Calibri" w:cs="Calibri" w:eastAsia="Calibri" w:hAnsi="Calibri"/>
          <w:sz w:val="22"/>
          <w:szCs w:val="22"/>
        </w:rPr>
        <w:t xml:space="preserve">Urton (2003) predice que, en los khipus de época inca, el nudo Z es la categoría no marcada (más frecuente). Clindaniel (2019, cap. 3) confirma este patrón en Inkawasi, Pachacamac, Puruchuco y el resto de la KDB, pero documenta una excepción clara: en Armatambo (n=14), el patrón está invertido (predominan los nudos S), lo que el propio autor interpreta —de forma explícitamente especulativa (“perhaps”)— como evidencia de un código local o de un uso diferenciado de esos khipus, sin confirmación definitiva. Adicionalmente, el khipu-tabla colonial de Mangas (siglo XIX, analizado por Hyland et al. 2014) muestra el patrón opuesto (S como no marcado), aunque se trata de un objeto de un período y género distintos (contabilidad de nombres en una tabla eclesiástica, no un khipu de cuerdas colgantes de época inca), por lo que no constituye estrictamente una contradicción directa sino un llamado de atención sobre los límites de generalizar un mismo patrón semiótico entre géneros y períodos distintos.</w:t>
      </w:r>
    </w:p>
    <w:p>
      <w:pPr>
        <w:pStyle w:val="Heading2"/>
        <w:spacing w:after="160" w:before="340"/>
      </w:pPr>
      <w:r>
        <w:t xml:space="preserve">7.3 ¿Es necesario resolver primero la tipología del khipu, o puede la computación a gran escala contribuir a construirla? Un desacuerdo metodológico explícito</w:t>
      </w:r>
    </w:p>
    <w:p>
      <w:pPr>
        <w:spacing w:after="160"/>
        <w:jc w:val="both"/>
      </w:pPr>
      <w:r>
        <w:rPr>
          <w:rFonts w:ascii="Calibri" w:cs="Calibri" w:eastAsia="Calibri" w:hAnsi="Calibri"/>
          <w:sz w:val="22"/>
          <w:szCs w:val="22"/>
        </w:rPr>
        <w:t xml:space="preserve">Sabine Hyland (2020:152, citada y discutida en Medrano y Khosla 2024, p.18) argumenta que es necesario comprender primero la tipología (géneros) del khipu antes de que el análisis computacional de grandes conjuntos de datos pueda avanzar significativamente en su desciframiento. Medrano y Khosla (2024) responden explícitamente a esta posición, argumentando que la relación es “a two-way street” (una calle de doble sentido): el análisis computacional a gran escala también puede contribuir a construir la tipología, al revelar patrones que atraviesan los géneros definidos previamente mediante análisis ad hoc. Es un desacuerdo metodológico nombrado explícitamente entre dos posiciones de fuentes distintas del corpus, no resuelto dentro de él.</w:t>
      </w:r>
    </w:p>
    <w:p>
      <w:pPr>
        <w:pStyle w:val="Heading2"/>
        <w:spacing w:after="160" w:before="340"/>
      </w:pPr>
      <w:r>
        <w:t xml:space="preserve">7.4 Discrepancias en el tamaño reportado del corpus digitalizado</w:t>
      </w:r>
    </w:p>
    <w:p>
      <w:pPr>
        <w:spacing w:after="160"/>
        <w:jc w:val="both"/>
      </w:pPr>
      <w:r>
        <w:rPr>
          <w:rFonts w:ascii="Calibri" w:cs="Calibri" w:eastAsia="Calibri" w:hAnsi="Calibri"/>
          <w:sz w:val="22"/>
          <w:szCs w:val="22"/>
        </w:rPr>
        <w:t xml:space="preserve">El corpus analizado reporta al menos tres cifras distintas para el tamaño de la base de datos de khipus digitalizados, que no deben confundirse entre sí sin matizar su alcance exacto:</w:t>
      </w:r>
    </w:p>
    <w:p>
      <w:pPr>
        <w:pStyle w:val="ListParagraph"/>
        <w:numPr>
          <w:ilvl w:val="0"/>
          <w:numId w:val="1"/>
        </w:numPr>
        <w:spacing w:after="90"/>
      </w:pPr>
      <w:r>
        <w:rPr>
          <w:rFonts w:ascii="Calibri" w:cs="Calibri" w:eastAsia="Calibri" w:hAnsi="Calibri"/>
          <w:sz w:val="22"/>
          <w:szCs w:val="22"/>
        </w:rPr>
        <w:t xml:space="preserve">973 khipus catalogados en total en la KDB, de los cuales 626 con datos detallados a nivel de cuerda (Clindaniel 2019, p.34-35, año de referencia ~2018).</w:t>
      </w:r>
    </w:p>
    <w:p>
      <w:pPr>
        <w:pStyle w:val="ListParagraph"/>
        <w:numPr>
          <w:ilvl w:val="0"/>
          <w:numId w:val="1"/>
        </w:numPr>
        <w:spacing w:after="90"/>
      </w:pPr>
      <w:r>
        <w:rPr>
          <w:rFonts w:ascii="Calibri" w:cs="Calibri" w:eastAsia="Calibri" w:hAnsi="Calibri"/>
          <w:sz w:val="22"/>
          <w:szCs w:val="22"/>
        </w:rPr>
        <w:t xml:space="preserve">629-630 khipus “de estilo inca” en el OKR (Clindaniel 2024 reporta 629; Brezine et al. 2024 reporta 630 — una diferencia de una unidad entre dos publicaciones del mismo año 2024, posiblemente por la fecha exacta de corte de cada análisis, no explicada en ninguna de las dos fuentes).</w:t>
      </w:r>
    </w:p>
    <w:p>
      <w:pPr>
        <w:pStyle w:val="ListParagraph"/>
        <w:numPr>
          <w:ilvl w:val="0"/>
          <w:numId w:val="1"/>
        </w:numPr>
        <w:spacing w:after="90"/>
      </w:pPr>
      <w:r>
        <w:rPr>
          <w:rFonts w:ascii="Calibri" w:cs="Calibri" w:eastAsia="Calibri" w:hAnsi="Calibri"/>
          <w:sz w:val="22"/>
          <w:szCs w:val="22"/>
        </w:rPr>
        <w:t xml:space="preserve">650 khipus en el corpus de Medrano y Khosla (2024), que expande el OKR incorporando 24 especímenes inéditos catalogados por los propios autores, aún no integrados formalmente al OKR en el momento de publicación.</w:t>
      </w:r>
    </w:p>
    <w:p>
      <w:pPr>
        <w:spacing w:after="160"/>
        <w:jc w:val="both"/>
      </w:pPr>
      <w:r>
        <w:rPr>
          <w:rFonts w:ascii="Calibri" w:cs="Calibri" w:eastAsia="Calibri" w:hAnsi="Calibri"/>
          <w:sz w:val="22"/>
          <w:szCs w:val="22"/>
        </w:rPr>
        <w:t xml:space="preserve">Estas cifras no son necesariamente contradictorias entre sí (reflejan definiciones de alcance ligeramente distintas: “todo lo catalogado” vs. “estilo inca en el OKR” vs. “OKR más adiciones propias no publicadas aún”), pero esta revisión señala explícitamente que cualquier cita futura del “tamaño del corpus digitalizado de khipus” debe especificar a cuál de estas cifras y fuentes se refiere.</w:t>
      </w:r>
    </w:p>
    <w:p>
      <w:pPr>
        <w:pStyle w:val="Heading2"/>
        <w:spacing w:after="160" w:before="340"/>
      </w:pPr>
      <w:r>
        <w:t xml:space="preserve">7.5 Discrepancia en la tecnología de base de datos descrita</w:t>
      </w:r>
    </w:p>
    <w:p>
      <w:pPr>
        <w:spacing w:after="160"/>
        <w:jc w:val="both"/>
      </w:pPr>
      <w:r>
        <w:rPr>
          <w:rFonts w:ascii="Calibri" w:cs="Calibri" w:eastAsia="Calibri" w:hAnsi="Calibri"/>
          <w:sz w:val="22"/>
          <w:szCs w:val="22"/>
        </w:rPr>
        <w:t xml:space="preserve">Clindaniel (2019, p.34-35) describe la Harvard Khipu Database (KDB) como una base de datos relacional MySQL. Brezine et al. (2024, p.5) describen el Open Khipu Repository (OKR) —la evolución directa de la misma base de datos— como una base de datos relacional SQLite. Ninguna de las dos fuentes explica el cambio. Es razonable inferir que ocurrió una migración de infraestructura entre 2019 y 2022 (año de la versión 2.0.0 del OKR), pero esto es una inferencia de esta revisión, no un hecho confirmado por ninguna fuente del corpus; se señala aquí como un punto a verificar directamente con el equipo del OKR antes de asumirlo en cualquier trabajo derivado.</w:t>
      </w:r>
    </w:p>
    <w:p>
      <w:pPr>
        <w:pStyle w:val="Heading2"/>
        <w:spacing w:after="160" w:before="340"/>
      </w:pPr>
      <w:r>
        <w:t xml:space="preserve">7.6 La crítica interna a las prácticas previas de nomenclatura</w:t>
      </w:r>
    </w:p>
    <w:p>
      <w:pPr>
        <w:spacing w:after="160"/>
        <w:jc w:val="both"/>
      </w:pPr>
      <w:r>
        <w:rPr>
          <w:rFonts w:ascii="Calibri" w:cs="Calibri" w:eastAsia="Calibri" w:hAnsi="Calibri"/>
          <w:sz w:val="22"/>
          <w:szCs w:val="22"/>
        </w:rPr>
        <w:t xml:space="preserve">Un caso inusual dentro del corpus: Brezine et al. (2024) —firmado, entre otros, por colegas y colaboradores cercanos de Gary Urton— critican explícitamente prácticas de renombramiento del propio Urton, documentando que reemplazó iniciales previas de otros catalogadores por las suyas (en vez de anteponerlas, como hacían los Ascher), lo que “lends the impression that he recorded all the UR khipus alone, which is inaccurate” (p.4), y que en un caso (AS167/N15 → UR1167) eliminó por completo el registro original de Erland Nordenskiöld. Se trata de una autocrítica documentada dentro de la propia comunidad de investigación representada en este corpus, no de una controversia externa, y es relevante para entender que el corpus no presenta una narrativa uniformemente armoniosa entre sus autores.</w:t>
      </w:r>
    </w:p>
    <w:p>
      <w:pPr>
        <w:pStyle w:val="Heading2"/>
        <w:spacing w:after="160" w:before="340"/>
      </w:pPr>
      <w:r>
        <w:t xml:space="preserve">7.7 Preguntas abiertas explícitamente señaladas como no resueltas por las propias fuentes</w:t>
      </w:r>
    </w:p>
    <w:p>
      <w:pPr>
        <w:pStyle w:val="ListParagraph"/>
        <w:numPr>
          <w:ilvl w:val="0"/>
          <w:numId w:val="1"/>
        </w:numPr>
        <w:spacing w:after="90"/>
      </w:pPr>
      <w:r>
        <w:rPr>
          <w:rFonts w:ascii="Calibri" w:cs="Calibri" w:eastAsia="Calibri" w:hAnsi="Calibri"/>
          <w:sz w:val="22"/>
          <w:szCs w:val="22"/>
        </w:rPr>
        <w:t xml:space="preserve">¿La polisemia del sistema de color se resolvía por reglas formales (“determinativos”) a nivel de khipu o grupo de cuerdas, o solo por contexto implícito? (Clindaniel 2024, p.27, pregunta explícitamente planteada como no respondida).</w:t>
      </w:r>
    </w:p>
    <w:p>
      <w:pPr>
        <w:pStyle w:val="ListParagraph"/>
        <w:numPr>
          <w:ilvl w:val="0"/>
          <w:numId w:val="1"/>
        </w:numPr>
        <w:spacing w:after="90"/>
      </w:pPr>
      <w:r>
        <w:rPr>
          <w:rFonts w:ascii="Calibri" w:cs="Calibri" w:eastAsia="Calibri" w:hAnsi="Calibri"/>
          <w:sz w:val="22"/>
          <w:szCs w:val="22"/>
        </w:rPr>
        <w:t xml:space="preserve">¿El material de la cuerda (algodón, camélido, cabello humano) añade información semántica independiente del color? (Clindaniel 2024, p.27-28, hipótesis sin probar).</w:t>
      </w:r>
    </w:p>
    <w:p>
      <w:pPr>
        <w:pStyle w:val="ListParagraph"/>
        <w:numPr>
          <w:ilvl w:val="0"/>
          <w:numId w:val="1"/>
        </w:numPr>
        <w:spacing w:after="90"/>
      </w:pPr>
      <w:r>
        <w:rPr>
          <w:rFonts w:ascii="Calibri" w:cs="Calibri" w:eastAsia="Calibri" w:hAnsi="Calibri"/>
          <w:sz w:val="22"/>
          <w:szCs w:val="22"/>
        </w:rPr>
        <w:t xml:space="preserve">¿Comparten los khipus preincaicos (wari) y los “proto-khipus” (varas y cuerdas de Cerrillos) el mismo sistema polisémico de color hallado para los khipus incas? (Clindaniel 2024, p.28, explícitamente señalado como pregunta para investigación futura, no como hallazgo).</w:t>
      </w:r>
    </w:p>
    <w:p>
      <w:pPr>
        <w:pStyle w:val="ListParagraph"/>
        <w:numPr>
          <w:ilvl w:val="0"/>
          <w:numId w:val="1"/>
        </w:numPr>
        <w:spacing w:after="90"/>
      </w:pPr>
      <w:r>
        <w:rPr>
          <w:rFonts w:ascii="Calibri" w:cs="Calibri" w:eastAsia="Calibri" w:hAnsi="Calibri"/>
          <w:sz w:val="22"/>
          <w:szCs w:val="22"/>
        </w:rPr>
        <w:t xml:space="preserve">¿En qué medida los “khipus narrativos” son un tipo fundamentalmente distinto de los khipus administrativos, o usan el mismo repertorio gramatical de forma más intensiva? Clindaniel (2019, p.139-140) argumenta a favor de la continuidad, pero reconoce que la pregunta permanece abierta empíricamente; Medrano (2021, p.28-29, 56) advierte que el término “quipu narrativo” se usa “acríticamente” en la literatura, sin una definición operacional consolidada.</w:t>
      </w:r>
    </w:p>
    <w:p>
      <w:pPr>
        <w:pStyle w:val="ListParagraph"/>
        <w:numPr>
          <w:ilvl w:val="0"/>
          <w:numId w:val="1"/>
        </w:numPr>
        <w:spacing w:after="90"/>
      </w:pPr>
      <w:r>
        <w:rPr>
          <w:rFonts w:ascii="Calibri" w:cs="Calibri" w:eastAsia="Calibri" w:hAnsi="Calibri"/>
          <w:sz w:val="22"/>
          <w:szCs w:val="22"/>
        </w:rPr>
        <w:t xml:space="preserve">¿Qué tan generalizable es el “proof of concept” de color=operación aritmética (crédito/débito/resultado) más allá de los dos khipus de Inkawasi en que se documentó? Pregunta explícitamente abierta por el propio Clindaniel (2019, p.98-99).</w:t>
      </w:r>
    </w:p>
    <w:p>
      <w:pPr>
        <w:pStyle w:val="ListParagraph"/>
        <w:numPr>
          <w:ilvl w:val="0"/>
          <w:numId w:val="1"/>
        </w:numPr>
        <w:spacing w:after="90"/>
      </w:pPr>
      <w:r>
        <w:rPr>
          <w:rFonts w:ascii="Calibri" w:cs="Calibri" w:eastAsia="Calibri" w:hAnsi="Calibri"/>
          <w:sz w:val="22"/>
          <w:szCs w:val="22"/>
        </w:rPr>
        <w:t xml:space="preserve">¿Qué fracción exacta del universo de 1,386 khipus conocidos permanece sin digitalizar, y qué sesgos introduce esa fracción faltante en los hallazgos computacionales del corpus? Los datos para responder esto existen en dos fuentes separadas y no cruzadas explícitamente dentro del corpus (el inventario físico de Medrano 2021 y los registros de digitalización del OKR/Medrano y Khosla 2024) — ver oportunidad de investigación en la sección 11.</w:t>
      </w:r>
    </w:p>
    <w:p>
      <w:pPr>
        <w:pStyle w:val="Heading2"/>
        <w:spacing w:after="160" w:before="340"/>
      </w:pPr>
      <w:r>
        <w:t xml:space="preserve">7.8 Limitaciones metodológicas transversales reconocidas por múltiples fuentes</w:t>
      </w:r>
    </w:p>
    <w:p>
      <w:pPr>
        <w:pStyle w:val="ListParagraph"/>
        <w:numPr>
          <w:ilvl w:val="0"/>
          <w:numId w:val="1"/>
        </w:numPr>
        <w:spacing w:after="90"/>
      </w:pPr>
      <w:r>
        <w:rPr>
          <w:rFonts w:ascii="Calibri" w:cs="Calibri" w:eastAsia="Calibri" w:hAnsi="Calibri"/>
          <w:sz w:val="22"/>
          <w:szCs w:val="22"/>
        </w:rPr>
        <w:t xml:space="preserve">Sesgo geográfico de preservación: predominio abrumador de khipus costeros por mejor conservación de fibras orgánicas frente a las tierras altas húmedas; ausencia casi total de ejemplares del núcleo cuzqueño (Clindaniel 2019, p.35; Medrano 2021, p.49-50).</w:t>
      </w:r>
    </w:p>
    <w:p>
      <w:pPr>
        <w:pStyle w:val="ListParagraph"/>
        <w:numPr>
          <w:ilvl w:val="0"/>
          <w:numId w:val="1"/>
        </w:numPr>
        <w:spacing w:after="90"/>
      </w:pPr>
      <w:r>
        <w:rPr>
          <w:rFonts w:ascii="Calibri" w:cs="Calibri" w:eastAsia="Calibri" w:hAnsi="Calibri"/>
          <w:sz w:val="22"/>
          <w:szCs w:val="22"/>
        </w:rPr>
        <w:t xml:space="preserve">Menos del 1% de los khipus que existieron habría sobrevivido hasta hoy, según estimación explícita de Medrano (2021, p.27) — límite fundamental para cualquier inferencia sobre el universo original de khipus, reconocido transversalmente.</w:t>
      </w:r>
    </w:p>
    <w:p>
      <w:pPr>
        <w:pStyle w:val="ListParagraph"/>
        <w:numPr>
          <w:ilvl w:val="0"/>
          <w:numId w:val="1"/>
        </w:numPr>
        <w:spacing w:after="90"/>
      </w:pPr>
      <w:r>
        <w:rPr>
          <w:rFonts w:ascii="Calibri" w:cs="Calibri" w:eastAsia="Calibri" w:hAnsi="Calibri"/>
          <w:sz w:val="22"/>
          <w:szCs w:val="22"/>
        </w:rPr>
        <w:t xml:space="preserve">Riesgo de sesgo tafonómico en el registro de color (decoloración, pérdida diferencial de cuerdas oscuras por tintes con hierro-tanino), reconocido explícitamente en Clindaniel (2024, p.10-11), aunque el propio autor argumenta que el patrón agregado observado es demasiado sistemático para explicarse solo por este efecto.</w:t>
      </w:r>
    </w:p>
    <w:p>
      <w:pPr>
        <w:pStyle w:val="Heading1"/>
        <w:pageBreakBefore/>
        <w:spacing w:after="240" w:before="480"/>
      </w:pPr>
      <w:r>
        <w:t xml:space="preserve">8. Análisis profundo: “Colorful Insights from an AI Khipukamayuq” (Clindaniel, 2024)</w:t>
      </w:r>
    </w:p>
    <w:p>
      <w:pPr>
        <w:spacing w:after="160"/>
        <w:jc w:val="both"/>
      </w:pPr>
      <w:r>
        <w:rPr>
          <w:rFonts w:ascii="Calibri" w:cs="Calibri" w:eastAsia="Calibri" w:hAnsi="Calibri"/>
          <w:sz w:val="22"/>
          <w:szCs w:val="22"/>
        </w:rPr>
        <w:t xml:space="preserve">Jon Clindaniel, University of Chicago. Enviado el 20 de mayo de 2024 para su inclusión en la publicación del Boundary End Archaeology Research Center Symmetry, Repetition, and Pattern Recognition in Andean Khipus. Archivo analizado: colorful-insights-20-May-2024.pdf (33 páginas), leído en su totalidad.</w:t>
      </w:r>
    </w:p>
    <w:p>
      <w:pPr>
        <w:spacing w:after="160"/>
      </w:pPr>
      <w:r>
        <w:rPr>
          <w:rFonts w:ascii="Calibri" w:cs="Calibri" w:eastAsia="Calibri" w:hAnsi="Calibri"/>
          <w:i/>
          <w:iCs/>
          <w:color w:val="555555"/>
          <w:sz w:val="20"/>
          <w:szCs w:val="20"/>
        </w:rPr>
        <w:t xml:space="preserve">Esta sección recibe, según lo solicitado, un tratamiento sustancialmente más profundo que el resto de las fuentes del corpus.</w:t>
      </w:r>
    </w:p>
    <w:p>
      <w:pPr>
        <w:pStyle w:val="Heading2"/>
        <w:spacing w:after="160" w:before="340"/>
      </w:pPr>
      <w:r>
        <w:t xml:space="preserve">8.1 Problema de investigación</w:t>
      </w:r>
    </w:p>
    <w:p>
      <w:pPr>
        <w:spacing w:after="160"/>
        <w:jc w:val="both"/>
      </w:pPr>
      <w:r>
        <w:rPr>
          <w:rFonts w:ascii="Calibri" w:cs="Calibri" w:eastAsia="Calibri" w:hAnsi="Calibri"/>
          <w:sz w:val="22"/>
          <w:szCs w:val="22"/>
        </w:rPr>
        <w:t xml:space="preserve">El color de cada cuerda se señala reiteradamente en la literatura como uno de los principales sitios de significado en un khipu inca, pero ninguna de las propuestas históricas, etnográficas o arqueológicas previas explica de forma sistemática cómo funcionaba la semántica del color: presentan, en palabras del propio autor, “fragmented, sometimes contradictory snapshots of a much larger, more complex system” (p.1). La pregunta central del estudio es explícita: “is there even a ‘system’ of color that can be discovered and deciphered? If so, how did it work?” — con la alternativa a descartar de que la variedad de usos documentados sea, en realidad, evidencia de que el color tuvo consistencia semiótica limitada para los khipukamayuqs incas (p.1).</w:t>
      </w:r>
    </w:p>
    <w:p>
      <w:pPr>
        <w:pStyle w:val="Heading2"/>
        <w:spacing w:after="160" w:before="340"/>
      </w:pPr>
      <w:r>
        <w:t xml:space="preserve">8.2 Objetivos</w:t>
      </w:r>
    </w:p>
    <w:p>
      <w:pPr>
        <w:spacing w:after="160"/>
        <w:jc w:val="both"/>
      </w:pPr>
      <w:r>
        <w:rPr>
          <w:rFonts w:ascii="Calibri" w:cs="Calibri" w:eastAsia="Calibri" w:hAnsi="Calibri"/>
          <w:sz w:val="22"/>
          <w:szCs w:val="22"/>
        </w:rPr>
        <w:t xml:space="preserve">Emplear un “khipukamayuq de inteligencia artificial” —un modelo transformer entrenado específicamente sobre datos de color de khipu— para responder dos preguntas operacionales concretas (p.4): (1) ¿ocupan los distintos colores dominios semánticos distintos entre sí, o su significado depende únicamente de su distintividad relativa dentro de un khipu? y (2) para los colores que sí muestran distinción semántica, ¿tienen un significado único y consistente (monosemia) o múltiples sentidos relacionados según el contexto (polisemia/homonimia)?</w:t>
      </w:r>
    </w:p>
    <w:p>
      <w:pPr>
        <w:pStyle w:val="Heading2"/>
        <w:spacing w:after="160" w:before="340"/>
      </w:pPr>
      <w:r>
        <w:t xml:space="preserve">8.3 Datos</w:t>
      </w:r>
    </w:p>
    <w:p>
      <w:pPr>
        <w:pStyle w:val="ListParagraph"/>
        <w:numPr>
          <w:ilvl w:val="0"/>
          <w:numId w:val="1"/>
        </w:numPr>
        <w:spacing w:after="90"/>
      </w:pPr>
      <w:r>
        <w:rPr>
          <w:rFonts w:ascii="Calibri" w:cs="Calibri" w:eastAsia="Calibri" w:hAnsi="Calibri"/>
          <w:sz w:val="22"/>
          <w:szCs w:val="22"/>
        </w:rPr>
        <w:t xml:space="preserve">Fuente única de datos: Open Khipu Repository (OKR), versión 2.0.0 (OKR Team 2022), base de datos relacional de acceso abierto (p.6).</w:t>
      </w:r>
    </w:p>
    <w:p>
      <w:pPr>
        <w:pStyle w:val="ListParagraph"/>
        <w:numPr>
          <w:ilvl w:val="0"/>
          <w:numId w:val="1"/>
        </w:numPr>
        <w:spacing w:after="90"/>
      </w:pPr>
      <w:r>
        <w:rPr>
          <w:rFonts w:ascii="Calibri" w:cs="Calibri" w:eastAsia="Calibri" w:hAnsi="Calibri"/>
          <w:sz w:val="22"/>
          <w:szCs w:val="22"/>
        </w:rPr>
        <w:t xml:space="preserve">Tamaño del corpus: 629 khipus digitalizados de estilo inca, de sitios arqueológicos andinos y museos de todo el mundo (p.6).</w:t>
      </w:r>
    </w:p>
    <w:p>
      <w:pPr>
        <w:pStyle w:val="ListParagraph"/>
        <w:numPr>
          <w:ilvl w:val="0"/>
          <w:numId w:val="1"/>
        </w:numPr>
        <w:spacing w:after="90"/>
      </w:pPr>
      <w:r>
        <w:rPr>
          <w:rFonts w:ascii="Calibri" w:cs="Calibri" w:eastAsia="Calibri" w:hAnsi="Calibri"/>
          <w:sz w:val="22"/>
          <w:szCs w:val="22"/>
        </w:rPr>
        <w:t xml:space="preserve">6,592 grupos de cuerdas con color registrado; 37,645 cuerdas de primer orden (colgantes y superiores); 48,681 registros individuales de color, contando cuerdas con combinaciones de color (p.6).</w:t>
      </w:r>
    </w:p>
    <w:p>
      <w:pPr>
        <w:pStyle w:val="ListParagraph"/>
        <w:numPr>
          <w:ilvl w:val="0"/>
          <w:numId w:val="1"/>
        </w:numPr>
        <w:spacing w:after="90"/>
      </w:pPr>
      <w:r>
        <w:rPr>
          <w:rFonts w:ascii="Calibri" w:cs="Calibri" w:eastAsia="Calibri" w:hAnsi="Calibri"/>
          <w:sz w:val="22"/>
          <w:szCs w:val="22"/>
        </w:rPr>
        <w:t xml:space="preserve">Cobertura parcial reconocida explícitamente: el OKR representa solo una fracción de los 1,386 khipus conocidos en museos y colecciones privadas catalogados en Medrano (2021) — límite explícito de generalización (p.6).</w:t>
      </w:r>
    </w:p>
    <w:p>
      <w:pPr>
        <w:pStyle w:val="ListParagraph"/>
        <w:numPr>
          <w:ilvl w:val="0"/>
          <w:numId w:val="1"/>
        </w:numPr>
        <w:spacing w:after="90"/>
      </w:pPr>
      <w:r>
        <w:rPr>
          <w:rFonts w:ascii="Calibri" w:cs="Calibri" w:eastAsia="Calibri" w:hAnsi="Calibri"/>
          <w:sz w:val="22"/>
          <w:szCs w:val="22"/>
        </w:rPr>
        <w:t xml:space="preserve">Consejo asesor del OKR: Carrie Brezine, Iván Ghezzi, Sabine Hyland, Manuel Medrano, Jeffrey Splitstoser y el propio Clindaniel, quien además administra la base (p.6).</w:t>
      </w:r>
    </w:p>
    <w:p>
      <w:pPr>
        <w:pStyle w:val="ListParagraph"/>
        <w:numPr>
          <w:ilvl w:val="0"/>
          <w:numId w:val="1"/>
        </w:numPr>
        <w:spacing w:after="90"/>
      </w:pPr>
      <w:r>
        <w:rPr>
          <w:rFonts w:ascii="Calibri" w:cs="Calibri" w:eastAsia="Calibri" w:hAnsi="Calibri"/>
          <w:sz w:val="22"/>
          <w:szCs w:val="22"/>
        </w:rPr>
        <w:t xml:space="preserve">Nomenclatura: identificadores KH#### definidos en Brezine et al. (2024) — p.ej. KH0503, KH0491, KH0431, KH0348, KH0289 (p.7).</w:t>
      </w:r>
    </w:p>
    <w:p>
      <w:pPr>
        <w:pStyle w:val="ListParagraph"/>
        <w:numPr>
          <w:ilvl w:val="0"/>
          <w:numId w:val="1"/>
        </w:numPr>
        <w:spacing w:after="90"/>
      </w:pPr>
      <w:r>
        <w:rPr>
          <w:rFonts w:ascii="Calibri" w:cs="Calibri" w:eastAsia="Calibri" w:hAnsi="Calibri"/>
          <w:sz w:val="22"/>
          <w:szCs w:val="22"/>
        </w:rPr>
        <w:t xml:space="preserve">Incluye tanto khipus incas excavados como khipus “de estilo inca” probablemente posteriores a la conquista española (p.ej. del valle de Santa) (p.27).</w:t>
      </w:r>
    </w:p>
    <w:p>
      <w:pPr>
        <w:pStyle w:val="Heading2"/>
        <w:spacing w:after="160" w:before="340"/>
      </w:pPr>
      <w:r>
        <w:t xml:space="preserve">8.4 Representación de los quipus (esquema de datos)</w:t>
      </w:r>
    </w:p>
    <w:p>
      <w:pPr>
        <w:spacing w:after="160"/>
        <w:jc w:val="both"/>
      </w:pPr>
      <w:r>
        <w:rPr>
          <w:rFonts w:ascii="Calibri" w:cs="Calibri" w:eastAsia="Calibri" w:hAnsi="Calibri"/>
          <w:sz w:val="22"/>
          <w:szCs w:val="22"/>
        </w:rPr>
        <w:t xml:space="preserve">Cada color de cuerda se transforma en un código alfanumérico mediante el Khipu Color Code System (KCCS) de Carrie Brezine (Urton y Brezine 2011), que agrupa por matiz (“hue”) y tono (“shade”) las variantes más finas del sistema original de los Ascher (1978) — por ejemplo, el código “B4” agrupa lo que antes eran ocho códigos distintos de “marrón oscuro” (p.7). Cada grupo de cuerdas se convierte en una secuencia de códigos separados por espacios; los límites entre grupos de cuerdas se marcan con un token especial “[SEP]”, siguiendo exactamente la convención usada para oraciones en modelos de lenguaje tipo BERT (p.7). Las combinaciones de color en una misma cuerda se codifican con símbolos: moteado (“:”), tipo poste de barbero (“-”) y segmentado (“/”) (p.7). La analogía estructural es explícita: grupo de cuerdas ≈ oración; secuencia de colores ≈ secuencia de palabras (p.7, Figura 1).</w:t>
      </w:r>
    </w:p>
    <w:p>
      <w:pPr>
        <w:pStyle w:val="Heading2"/>
        <w:spacing w:after="160" w:before="340"/>
      </w:pPr>
      <w:r>
        <w:t xml:space="preserve">8.5 Variables y características consideradas</w:t>
      </w:r>
    </w:p>
    <w:p>
      <w:pPr>
        <w:spacing w:after="160"/>
        <w:jc w:val="both"/>
      </w:pPr>
      <w:r>
        <w:rPr>
          <w:rFonts w:ascii="Calibri" w:cs="Calibri" w:eastAsia="Calibri" w:hAnsi="Calibri"/>
          <w:sz w:val="22"/>
          <w:szCs w:val="22"/>
        </w:rPr>
        <w:t xml:space="preserve">El modelo usa exclusivamente el código de color KCCS de cada cuerda, su posición dentro de su grupo de cuerdas, la pertenencia a un grupo de cuerdas concreto, y los modificadores de combinación de color. No incorpora explícitamente el material de la fibra (algodón/camélido/cabello humano), la dirección de hilado/torsión, el tipo de nudo, ni la jerarquía estructural del khipu (cuerda primaria, kaytes) — el propio autor señala esto como limitación y dirección de trabajo futuro (p.27-28).</w:t>
      </w:r>
    </w:p>
    <w:p>
      <w:pPr>
        <w:pStyle w:val="Heading2"/>
        <w:spacing w:after="160" w:before="340"/>
      </w:pPr>
      <w:r>
        <w:t xml:space="preserve">8.6 Metodología: flujo reconstruido</w:t>
      </w:r>
    </w:p>
    <w:p>
      <w:pPr>
        <w:spacing w:after="160"/>
        <w:jc w:val="both"/>
      </w:pPr>
      <w:r>
        <w:rPr>
          <w:rFonts w:ascii="Calibri" w:cs="Calibri" w:eastAsia="Calibri" w:hAnsi="Calibri"/>
          <w:sz w:val="22"/>
          <w:szCs w:val="22"/>
        </w:rPr>
        <w:t xml:space="preserve">El flujo metodológico completo, reconstruido únicamente a partir de los componentes que efectivamente aparecen en el paper, es el siguiente:</w:t>
      </w:r>
    </w:p>
    <w:p>
      <w:pPr>
        <w:spacing w:after="160"/>
        <w:jc w:val="both"/>
      </w:pPr>
      <w:r>
        <w:rPr>
          <w:rFonts w:ascii="Calibri" w:cs="Calibri" w:eastAsia="Calibri" w:hAnsi="Calibri"/>
          <w:b/>
          <w:bCs/>
          <w:i/>
          <w:iCs/>
          <w:sz w:val="20"/>
          <w:szCs w:val="20"/>
        </w:rPr>
        <w:t xml:space="preserve">Datos (OKR, 629 khipus) → representación (códigos KCCS + tokens [SEP]/[MASK]) → modelo (BERT entrenado desde cero con enmascaramiento de color) → embeddings contextuales (concatenación de las últimas 4 capas → vector de 3072 dimensiones) → reducción de dimensionalidad (UMAP) → clustering (HDBSCAN) y análisis de similitud coseno → interpretación (mapas semánticos, polisemia, contraste con fuentes históricas y arqueológicas)</w:t>
      </w:r>
    </w:p>
    <w:p>
      <w:pPr>
        <w:spacing w:after="160"/>
        <w:jc w:val="both"/>
      </w:pPr>
      <w:r>
        <w:rPr>
          <w:rFonts w:ascii="Calibri" w:cs="Calibri" w:eastAsia="Calibri" w:hAnsi="Calibri"/>
          <w:sz w:val="22"/>
          <w:szCs w:val="22"/>
        </w:rPr>
        <w:t xml:space="preserve">Pasos detallados:</w:t>
      </w:r>
    </w:p>
    <w:p>
      <w:pPr>
        <w:pStyle w:val="ListParagraph"/>
        <w:numPr>
          <w:ilvl w:val="0"/>
          <w:numId w:val="1"/>
        </w:numPr>
        <w:spacing w:after="90"/>
      </w:pPr>
      <w:r>
        <w:rPr>
          <w:rFonts w:ascii="Calibri" w:cs="Calibri" w:eastAsia="Calibri" w:hAnsi="Calibri"/>
          <w:sz w:val="22"/>
          <w:szCs w:val="22"/>
        </w:rPr>
        <w:t xml:space="preserve">1. Enmascaramiento aleatorio del 15% de los colores de cuerda en cada grupo (“Masked Language Modeling”, igual que el BERT original de Devlin et al. 2019), sin la tarea de “next sentence prediction” — omitida porque estudios posteriores (RoBERTa, Liu et al. 2019) mostraron que no ayuda o incluso perjudica el desempeño (p.7-8).</w:t>
      </w:r>
    </w:p>
    <w:p>
      <w:pPr>
        <w:pStyle w:val="ListParagraph"/>
        <w:numPr>
          <w:ilvl w:val="0"/>
          <w:numId w:val="1"/>
        </w:numPr>
        <w:spacing w:after="90"/>
      </w:pPr>
      <w:r>
        <w:rPr>
          <w:rFonts w:ascii="Calibri" w:cs="Calibri" w:eastAsia="Calibri" w:hAnsi="Calibri"/>
          <w:sz w:val="22"/>
          <w:szCs w:val="22"/>
        </w:rPr>
        <w:t xml:space="preserve">2. Entrenamiento de un modelo BERT (12 capas encoder, representaciones de 768 dimensiones por capa) con la librería Python “Transformers” (Wolf et al. 2020), sobre el 80% de las cuerdas de primer orden del OKR; validación sobre el 20% restante, confirmando desempeño similar entre entrenamiento y validación (sin sobreajuste) (p.7-8, Figura 2).</w:t>
      </w:r>
    </w:p>
    <w:p>
      <w:pPr>
        <w:pStyle w:val="ListParagraph"/>
        <w:numPr>
          <w:ilvl w:val="0"/>
          <w:numId w:val="1"/>
        </w:numPr>
        <w:spacing w:after="90"/>
      </w:pPr>
      <w:r>
        <w:rPr>
          <w:rFonts w:ascii="Calibri" w:cs="Calibri" w:eastAsia="Calibri" w:hAnsi="Calibri"/>
          <w:sz w:val="22"/>
          <w:szCs w:val="22"/>
        </w:rPr>
        <w:t xml:space="preserve">3. Búsqueda de hiperparámetros (p.ej. tasa de aprendizaje) con la librería Optuna, evaluando 3 semillas aleatorias distintas (Akiba et al. 2019) (p.8).</w:t>
      </w:r>
    </w:p>
    <w:p>
      <w:pPr>
        <w:pStyle w:val="ListParagraph"/>
        <w:numPr>
          <w:ilvl w:val="0"/>
          <w:numId w:val="1"/>
        </w:numPr>
        <w:spacing w:after="90"/>
      </w:pPr>
      <w:r>
        <w:rPr>
          <w:rFonts w:ascii="Calibri" w:cs="Calibri" w:eastAsia="Calibri" w:hAnsi="Calibri"/>
          <w:sz w:val="22"/>
          <w:szCs w:val="22"/>
        </w:rPr>
        <w:t xml:space="preserve">4. Cómputo de embeddings contextuales por cuerda, concatenando las últimas 4 capas del encoder en un vector de 3072 dimensiones, siguiendo a Devlin et al. (2019) (p.8).</w:t>
      </w:r>
    </w:p>
    <w:p>
      <w:pPr>
        <w:pStyle w:val="ListParagraph"/>
        <w:numPr>
          <w:ilvl w:val="0"/>
          <w:numId w:val="1"/>
        </w:numPr>
        <w:spacing w:after="90"/>
      </w:pPr>
      <w:r>
        <w:rPr>
          <w:rFonts w:ascii="Calibri" w:cs="Calibri" w:eastAsia="Calibri" w:hAnsi="Calibri"/>
          <w:sz w:val="22"/>
          <w:szCs w:val="22"/>
        </w:rPr>
        <w:t xml:space="preserve">5. Modelado de tópicos neuronal al estilo BERTopic (Grootendorst 2022): reducción a 100 dimensiones vía UMAP + clustering no supervisado vía HDBSCAN (McInnes et al. 2017, 2018); umbral de tamaño mínimo de clúster de 250 para clústeres grandes, y de 25 para sub-clústeres de colores poco frecuentes (p.8-9).</w:t>
      </w:r>
    </w:p>
    <w:p>
      <w:pPr>
        <w:pStyle w:val="ListParagraph"/>
        <w:numPr>
          <w:ilvl w:val="0"/>
          <w:numId w:val="1"/>
        </w:numPr>
        <w:spacing w:after="90"/>
      </w:pPr>
      <w:r>
        <w:rPr>
          <w:rFonts w:ascii="Calibri" w:cs="Calibri" w:eastAsia="Calibri" w:hAnsi="Calibri"/>
          <w:sz w:val="22"/>
          <w:szCs w:val="22"/>
        </w:rPr>
        <w:t xml:space="preserve">6. Análisis de polisemia intra-color: similitud coseno entre todos los pares de embeddings de un mismo color, visualizada en histogramas por color mediante PyTorch (p.9-10). Regla de interpretación: pico único cerca de 1.0 → posible monosemia; picos bimodales o cola larga por debajo de 0.5 → polisemia/homonimia, validada contra literatura de NLP comparable (Nair et al. 2020; Wilson y Marantz 2022).</w:t>
      </w:r>
    </w:p>
    <w:p>
      <w:pPr>
        <w:pStyle w:val="ListParagraph"/>
        <w:numPr>
          <w:ilvl w:val="0"/>
          <w:numId w:val="1"/>
        </w:numPr>
        <w:spacing w:after="90"/>
      </w:pPr>
      <w:r>
        <w:rPr>
          <w:rFonts w:ascii="Calibri" w:cs="Calibri" w:eastAsia="Calibri" w:hAnsi="Calibri"/>
          <w:sz w:val="22"/>
          <w:szCs w:val="22"/>
        </w:rPr>
        <w:t xml:space="preserve">7. Análisis de consistencia geográfica: embeddings promedio por color a nivel de grupo de cuerdas; identificación de grupos con similitud coseno menor a 0.5 respecto a otros usos del mismo color; umbral de 25% de divergencia promedio para calificar un khipu o procedencia como “altamente divergente” (p.11-12).</w:t>
      </w:r>
    </w:p>
    <w:p>
      <w:pPr>
        <w:pStyle w:val="ListParagraph"/>
        <w:numPr>
          <w:ilvl w:val="0"/>
          <w:numId w:val="1"/>
        </w:numPr>
        <w:spacing w:after="90"/>
      </w:pPr>
      <w:r>
        <w:rPr>
          <w:rFonts w:ascii="Calibri" w:cs="Calibri" w:eastAsia="Calibri" w:hAnsi="Calibri"/>
          <w:sz w:val="22"/>
          <w:szCs w:val="22"/>
        </w:rPr>
        <w:t xml:space="preserve">8. Clustering de “frases” (grupos de cuerdas) y “tópicos” (khipus completos) con los mismos métodos, usando umbrales más pequeños (mínimo 15 para frases, 5 para tópicos) (p.12).</w:t>
      </w:r>
    </w:p>
    <w:p>
      <w:pPr>
        <w:pStyle w:val="Heading2"/>
        <w:spacing w:after="160" w:before="340"/>
      </w:pPr>
      <w:r>
        <w:t xml:space="preserve">8.7 Técnicas de inteligencia artificial y computación utilizadas</w:t>
      </w:r>
    </w:p>
    <w:p>
      <w:pPr>
        <w:pStyle w:val="ListParagraph"/>
        <w:numPr>
          <w:ilvl w:val="0"/>
          <w:numId w:val="1"/>
        </w:numPr>
        <w:spacing w:after="90"/>
      </w:pPr>
      <w:r>
        <w:rPr>
          <w:rFonts w:ascii="Calibri" w:cs="Calibri" w:eastAsia="Calibri" w:hAnsi="Calibri"/>
          <w:sz w:val="22"/>
          <w:szCs w:val="22"/>
        </w:rPr>
        <w:t xml:space="preserve">BERT (Bidirectional Encoder Representations from Transformers) — entrenado desde cero sobre secuencias de color del OKR, no mediante ajuste fino (fine-tuning) de un modelo preentrenado en lenguaje natural.</w:t>
      </w:r>
    </w:p>
    <w:p>
      <w:pPr>
        <w:pStyle w:val="ListParagraph"/>
        <w:numPr>
          <w:ilvl w:val="0"/>
          <w:numId w:val="1"/>
        </w:numPr>
        <w:spacing w:after="90"/>
      </w:pPr>
      <w:r>
        <w:rPr>
          <w:rFonts w:ascii="Calibri" w:cs="Calibri" w:eastAsia="Calibri" w:hAnsi="Calibri"/>
          <w:sz w:val="22"/>
          <w:szCs w:val="22"/>
        </w:rPr>
        <w:t xml:space="preserve">Masked Language Modeling (aprendizaje autosupervisado).</w:t>
      </w:r>
    </w:p>
    <w:p>
      <w:pPr>
        <w:pStyle w:val="ListParagraph"/>
        <w:numPr>
          <w:ilvl w:val="0"/>
          <w:numId w:val="1"/>
        </w:numPr>
        <w:spacing w:after="90"/>
      </w:pPr>
      <w:r>
        <w:rPr>
          <w:rFonts w:ascii="Calibri" w:cs="Calibri" w:eastAsia="Calibri" w:hAnsi="Calibri"/>
          <w:sz w:val="22"/>
          <w:szCs w:val="22"/>
        </w:rPr>
        <w:t xml:space="preserve">Optuna, para optimización de hiperparámetros.</w:t>
      </w:r>
    </w:p>
    <w:p>
      <w:pPr>
        <w:pStyle w:val="ListParagraph"/>
        <w:numPr>
          <w:ilvl w:val="0"/>
          <w:numId w:val="1"/>
        </w:numPr>
        <w:spacing w:after="90"/>
      </w:pPr>
      <w:r>
        <w:rPr>
          <w:rFonts w:ascii="Calibri" w:cs="Calibri" w:eastAsia="Calibri" w:hAnsi="Calibri"/>
          <w:sz w:val="22"/>
          <w:szCs w:val="22"/>
        </w:rPr>
        <w:t xml:space="preserve">UMAP (Uniform Manifold Approximation and Projection), para reducción de dimensionalidad.</w:t>
      </w:r>
    </w:p>
    <w:p>
      <w:pPr>
        <w:pStyle w:val="ListParagraph"/>
        <w:numPr>
          <w:ilvl w:val="0"/>
          <w:numId w:val="1"/>
        </w:numPr>
        <w:spacing w:after="90"/>
      </w:pPr>
      <w:r>
        <w:rPr>
          <w:rFonts w:ascii="Calibri" w:cs="Calibri" w:eastAsia="Calibri" w:hAnsi="Calibri"/>
          <w:sz w:val="22"/>
          <w:szCs w:val="22"/>
        </w:rPr>
        <w:t xml:space="preserve">HDBSCAN (Hierarchical Density-Based Spatial Clustering), para clustering no supervisado.</w:t>
      </w:r>
    </w:p>
    <w:p>
      <w:pPr>
        <w:pStyle w:val="ListParagraph"/>
        <w:numPr>
          <w:ilvl w:val="0"/>
          <w:numId w:val="1"/>
        </w:numPr>
        <w:spacing w:after="90"/>
      </w:pPr>
      <w:r>
        <w:rPr>
          <w:rFonts w:ascii="Calibri" w:cs="Calibri" w:eastAsia="Calibri" w:hAnsi="Calibri"/>
          <w:sz w:val="22"/>
          <w:szCs w:val="22"/>
        </w:rPr>
        <w:t xml:space="preserve">Enfoque de modelado de tópicos neuronal inspirado en BERTopic.</w:t>
      </w:r>
    </w:p>
    <w:p>
      <w:pPr>
        <w:pStyle w:val="ListParagraph"/>
        <w:numPr>
          <w:ilvl w:val="0"/>
          <w:numId w:val="1"/>
        </w:numPr>
        <w:spacing w:after="90"/>
      </w:pPr>
      <w:r>
        <w:rPr>
          <w:rFonts w:ascii="Calibri" w:cs="Calibri" w:eastAsia="Calibri" w:hAnsi="Calibri"/>
          <w:sz w:val="22"/>
          <w:szCs w:val="22"/>
        </w:rPr>
        <w:t xml:space="preserve">Similitud coseno entre embeddings como métrica de distancia semántica.</w:t>
      </w:r>
    </w:p>
    <w:p>
      <w:pPr>
        <w:pStyle w:val="ListParagraph"/>
        <w:numPr>
          <w:ilvl w:val="0"/>
          <w:numId w:val="1"/>
        </w:numPr>
        <w:spacing w:after="90"/>
      </w:pPr>
      <w:r>
        <w:rPr>
          <w:rFonts w:ascii="Calibri" w:cs="Calibri" w:eastAsia="Calibri" w:hAnsi="Calibri"/>
          <w:sz w:val="22"/>
          <w:szCs w:val="22"/>
        </w:rPr>
        <w:t xml:space="preserve">Librerías: Python Transformers (HuggingFace), PyTorch.</w:t>
      </w:r>
    </w:p>
    <w:p>
      <w:pPr>
        <w:pStyle w:val="ListParagraph"/>
        <w:numPr>
          <w:ilvl w:val="0"/>
          <w:numId w:val="1"/>
        </w:numPr>
        <w:spacing w:after="90"/>
      </w:pPr>
      <w:r>
        <w:rPr>
          <w:rFonts w:ascii="Calibri" w:cs="Calibri" w:eastAsia="Calibri" w:hAnsi="Calibri"/>
          <w:sz w:val="22"/>
          <w:szCs w:val="22"/>
        </w:rPr>
        <w:t xml:space="preserve">Código y salidas de reproducción disponibles públicamente en Zenodo (doi:10.5281/zenodo.11218148) — íntegramente reproducible, con datos y código abiertos (p.29).</w:t>
      </w:r>
    </w:p>
    <w:p>
      <w:pPr>
        <w:pStyle w:val="Heading2"/>
        <w:spacing w:after="160" w:before="340"/>
      </w:pPr>
      <w:r>
        <w:t xml:space="preserve">8.8 Resultados</w:t>
      </w:r>
    </w:p>
    <w:p>
      <w:pPr>
        <w:pStyle w:val="ListParagraph"/>
        <w:numPr>
          <w:ilvl w:val="0"/>
          <w:numId w:val="1"/>
        </w:numPr>
        <w:spacing w:after="90"/>
      </w:pPr>
      <w:r>
        <w:rPr>
          <w:rFonts w:ascii="Calibri" w:cs="Calibri" w:eastAsia="Calibri" w:hAnsi="Calibri"/>
          <w:sz w:val="22"/>
          <w:szCs w:val="22"/>
        </w:rPr>
        <w:t xml:space="preserve">79% de todas las cuerdas del corpus caen en uno de 30 clústeres semánticos distintos (p.12, Figura 3).</w:t>
      </w:r>
    </w:p>
    <w:p>
      <w:pPr>
        <w:pStyle w:val="ListParagraph"/>
        <w:numPr>
          <w:ilvl w:val="0"/>
          <w:numId w:val="1"/>
        </w:numPr>
        <w:spacing w:after="90"/>
      </w:pPr>
      <w:r>
        <w:rPr>
          <w:rFonts w:ascii="Calibri" w:cs="Calibri" w:eastAsia="Calibri" w:hAnsi="Calibri"/>
          <w:sz w:val="22"/>
          <w:szCs w:val="22"/>
        </w:rPr>
        <w:t xml:space="preserve">“Conjunto fundacional” de colores (blanco, marrón claro, marrón medio, negro): ~81% de las cuerdas del OKR, con dominios semánticos mutuamente opuestos (p.16, 20).</w:t>
      </w:r>
    </w:p>
    <w:p>
      <w:pPr>
        <w:pStyle w:val="ListParagraph"/>
        <w:numPr>
          <w:ilvl w:val="0"/>
          <w:numId w:val="1"/>
        </w:numPr>
        <w:spacing w:after="90"/>
      </w:pPr>
      <w:r>
        <w:rPr>
          <w:rFonts w:ascii="Calibri" w:cs="Calibri" w:eastAsia="Calibri" w:hAnsi="Calibri"/>
          <w:sz w:val="22"/>
          <w:szCs w:val="22"/>
        </w:rPr>
        <w:t xml:space="preserve">“Conjunto de extensión” (marrón oscuro, verde medio, verde oscuro, azul medio, gris claro): ~15% de las cuerdas (p.20).</w:t>
      </w:r>
    </w:p>
    <w:p>
      <w:pPr>
        <w:pStyle w:val="ListParagraph"/>
        <w:numPr>
          <w:ilvl w:val="0"/>
          <w:numId w:val="1"/>
        </w:numPr>
        <w:spacing w:after="90"/>
      </w:pPr>
      <w:r>
        <w:rPr>
          <w:rFonts w:ascii="Calibri" w:cs="Calibri" w:eastAsia="Calibri" w:hAnsi="Calibri"/>
          <w:sz w:val="22"/>
          <w:szCs w:val="22"/>
        </w:rPr>
        <w:t xml:space="preserve">“Conjunto de refinamiento” (colores restantes, incluyendo rojos, algunos verdes/amarillos/naranjas/azules): ~4% de las cuerdas, usados en contextos especializados (p.20).</w:t>
      </w:r>
    </w:p>
    <w:p>
      <w:pPr>
        <w:pStyle w:val="ListParagraph"/>
        <w:numPr>
          <w:ilvl w:val="0"/>
          <w:numId w:val="1"/>
        </w:numPr>
        <w:spacing w:after="90"/>
      </w:pPr>
      <w:r>
        <w:rPr>
          <w:rFonts w:ascii="Calibri" w:cs="Calibri" w:eastAsia="Calibri" w:hAnsi="Calibri"/>
          <w:sz w:val="22"/>
          <w:szCs w:val="22"/>
        </w:rPr>
        <w:t xml:space="preserve">Solo una minoría de colores de baja frecuencia (10-43 apariciones: olivo oscuro, amarillo claro, rojo claro, naranja oscuro) muestra un uso consistente compatible con monosemia; la mayoría de los colores exhibe polisemia (picos bimodales o distribución de cola larga: 12 de 18 colores analizados en detalle) (p.16-19).</w:t>
      </w:r>
    </w:p>
    <w:p>
      <w:pPr>
        <w:pStyle w:val="ListParagraph"/>
        <w:numPr>
          <w:ilvl w:val="0"/>
          <w:numId w:val="1"/>
        </w:numPr>
        <w:spacing w:after="90"/>
      </w:pPr>
      <w:r>
        <w:rPr>
          <w:rFonts w:ascii="Calibri" w:cs="Calibri" w:eastAsia="Calibri" w:hAnsi="Calibri"/>
          <w:sz w:val="22"/>
          <w:szCs w:val="22"/>
        </w:rPr>
        <w:t xml:space="preserve">La polisemia genera al menos 30 sentidos distintos entre los colores del corpus, y hasta 488 sub-clústeres con umbrales de clúster más finos (p.27).</w:t>
      </w:r>
    </w:p>
    <w:p>
      <w:pPr>
        <w:pStyle w:val="ListParagraph"/>
        <w:numPr>
          <w:ilvl w:val="0"/>
          <w:numId w:val="1"/>
        </w:numPr>
        <w:spacing w:after="90"/>
      </w:pPr>
      <w:r>
        <w:rPr>
          <w:rFonts w:ascii="Calibri" w:cs="Calibri" w:eastAsia="Calibri" w:hAnsi="Calibri"/>
          <w:sz w:val="22"/>
          <w:szCs w:val="22"/>
        </w:rPr>
        <w:t xml:space="preserve">Consistencia geográfica/imperial alta: cada código de color aparece en múltiples khipus y procedencias; muy pocos casos “altamente divergentes” (p.ej. rojo oscuro, divergente en 1 de 4 khipus donde aparece) (p.20-22).</w:t>
      </w:r>
    </w:p>
    <w:p>
      <w:pPr>
        <w:pStyle w:val="ListParagraph"/>
        <w:numPr>
          <w:ilvl w:val="0"/>
          <w:numId w:val="1"/>
        </w:numPr>
        <w:spacing w:after="90"/>
      </w:pPr>
      <w:r>
        <w:rPr>
          <w:rFonts w:ascii="Calibri" w:cs="Calibri" w:eastAsia="Calibri" w:hAnsi="Calibri"/>
          <w:sz w:val="22"/>
          <w:szCs w:val="22"/>
        </w:rPr>
        <w:t xml:space="preserve">Clustering de grupos de cuerdas (“frases”): 87.2% de los grupos del OKR caen en uno de 127 clústeres de “frase”; 95.2% de esas frases aparecen en más de una procedencia (p.22).</w:t>
      </w:r>
    </w:p>
    <w:p>
      <w:pPr>
        <w:pStyle w:val="ListParagraph"/>
        <w:numPr>
          <w:ilvl w:val="0"/>
          <w:numId w:val="1"/>
        </w:numPr>
        <w:spacing w:after="90"/>
      </w:pPr>
      <w:r>
        <w:rPr>
          <w:rFonts w:ascii="Calibri" w:cs="Calibri" w:eastAsia="Calibri" w:hAnsi="Calibri"/>
          <w:sz w:val="22"/>
          <w:szCs w:val="22"/>
        </w:rPr>
        <w:t xml:space="preserve">Clustering a nivel de khipu completo (“tópicos”): 88.0% de los khipus caen en uno de 20 clústeres de “tópico”; 100% de los tópicos aparecen en más de una procedencia (p.22).</w:t>
      </w:r>
    </w:p>
    <w:p>
      <w:pPr>
        <w:pStyle w:val="ListParagraph"/>
        <w:numPr>
          <w:ilvl w:val="0"/>
          <w:numId w:val="1"/>
        </w:numPr>
        <w:spacing w:after="90"/>
      </w:pPr>
      <w:r>
        <w:rPr>
          <w:rFonts w:ascii="Calibri" w:cs="Calibri" w:eastAsia="Calibri" w:hAnsi="Calibri"/>
          <w:sz w:val="22"/>
          <w:szCs w:val="22"/>
        </w:rPr>
        <w:t xml:space="preserve">Validación cualitativa: el modelo distingue correctamente los khipus KH0503 (tópico 6) y KH0491 (tópico 12) de Inkawasi como pertenecientes a tópicos distintos pese a usar colores similares — coincide con el análisis manual previo de la disertación de Clindaniel (2019) (p.22).</w:t>
      </w:r>
    </w:p>
    <w:p>
      <w:pPr>
        <w:pStyle w:val="ListParagraph"/>
        <w:numPr>
          <w:ilvl w:val="0"/>
          <w:numId w:val="1"/>
        </w:numPr>
        <w:spacing w:after="90"/>
      </w:pPr>
      <w:r>
        <w:rPr>
          <w:rFonts w:ascii="Calibri" w:cs="Calibri" w:eastAsia="Calibri" w:hAnsi="Calibri"/>
          <w:sz w:val="22"/>
          <w:szCs w:val="22"/>
        </w:rPr>
        <w:t xml:space="preserve">Correlación con evidencia arqueológica material: de los 12 contrastes de color únicos observados en las varas envueltas de Inkawasi, 9 (75%) también aparecen como dominios semánticos opuestos distintos en el modelo de IA (p.26-27).</w:t>
      </w:r>
    </w:p>
    <w:p>
      <w:pPr>
        <w:pStyle w:val="Heading2"/>
        <w:spacing w:after="160" w:before="340"/>
      </w:pPr>
      <w:r>
        <w:t xml:space="preserve">8.9 Interpretación de resultados</w:t>
      </w:r>
    </w:p>
    <w:p>
      <w:pPr>
        <w:spacing w:after="160"/>
        <w:jc w:val="both"/>
      </w:pPr>
      <w:r>
        <w:rPr>
          <w:rFonts w:ascii="Calibri" w:cs="Calibri" w:eastAsia="Calibri" w:hAnsi="Calibri"/>
          <w:sz w:val="22"/>
          <w:szCs w:val="22"/>
        </w:rPr>
        <w:t xml:space="preserve">El autor interpreta el sistema de color como organizado en tres niveles jerárquicos (fundacional/extensión/refinamiento) que combinan oposición relacional (claro/oscuro) con extensión hacia matices más especializados — interpretación explícitamente conectada con su propio modelo teórico previo de oposiciones relacionales binarias (Clindaniel 2019) (p.23). La polisemia generalizada se interpreta como evidencia de que el khipu funciona semióticamente de forma análoga a otros sistemas lingüísticos, donde las palabras se extienden creativamente a sentidos relacionados en vez de crear signos nuevos (hipótesis apoyada en literatura de tipología lingüística, Vicente y Falkum 2017) (p.27). La consistencia observada a escala imperial se interpreta como evidencia de un entrenamiento estandarizado de khipukamayuqs, apoyada en el testimonio del cronista Martín de Murúa sobre una escuela de Cuzco dedicada dos años a la interpretación y producción de khipus, y en el hallazgo arqueológico convergente de las varas envueltas de Inkawasi como posibles plantillas de referencia (p.25-26) — una interpretación respaldada por fuentes históricas y un hallazgo arqueológico convergente, no una prueba directa.</w:t>
      </w:r>
    </w:p>
    <w:p>
      <w:pPr>
        <w:pStyle w:val="Heading2"/>
        <w:spacing w:after="160" w:before="340"/>
      </w:pPr>
      <w:r>
        <w:t xml:space="preserve">8.10 Limitaciones</w:t>
      </w:r>
    </w:p>
    <w:p>
      <w:pPr>
        <w:pStyle w:val="ListParagraph"/>
        <w:numPr>
          <w:ilvl w:val="0"/>
          <w:numId w:val="1"/>
        </w:numPr>
        <w:spacing w:after="90"/>
      </w:pPr>
      <w:r>
        <w:rPr>
          <w:rFonts w:ascii="Calibri" w:cs="Calibri" w:eastAsia="Calibri" w:hAnsi="Calibri"/>
          <w:sz w:val="22"/>
          <w:szCs w:val="22"/>
        </w:rPr>
        <w:t xml:space="preserve">Preocupación explícita por transformación tafonómica: cuerdas originalmente teñidas pueden registrarse como no teñidas visualmente (cita a Milillo et al. 2023, que detectaron tinte oculto en khipus wari mediante imagen multibanda y análisis químico) (p.10).</w:t>
      </w:r>
    </w:p>
    <w:p>
      <w:pPr>
        <w:pStyle w:val="ListParagraph"/>
        <w:numPr>
          <w:ilvl w:val="0"/>
          <w:numId w:val="1"/>
        </w:numPr>
        <w:spacing w:after="90"/>
      </w:pPr>
      <w:r>
        <w:rPr>
          <w:rFonts w:ascii="Calibri" w:cs="Calibri" w:eastAsia="Calibri" w:hAnsi="Calibri"/>
          <w:sz w:val="22"/>
          <w:szCs w:val="22"/>
        </w:rPr>
        <w:t xml:space="preserve">Cuerdas dañadas o perdidas: las cuerdas marrón oscuro y negro son particularmente susceptibles a degradación por tintes con hierro-tanino (cita a Rode et al. 2024), lo que puede generar lagunas de datos (p.10-11).</w:t>
      </w:r>
    </w:p>
    <w:p>
      <w:pPr>
        <w:pStyle w:val="ListParagraph"/>
        <w:numPr>
          <w:ilvl w:val="0"/>
          <w:numId w:val="1"/>
        </w:numPr>
        <w:spacing w:after="90"/>
      </w:pPr>
      <w:r>
        <w:rPr>
          <w:rFonts w:ascii="Calibri" w:cs="Calibri" w:eastAsia="Calibri" w:hAnsi="Calibri"/>
          <w:sz w:val="22"/>
          <w:szCs w:val="22"/>
        </w:rPr>
        <w:t xml:space="preserve">El modelo es “solo color”: no incorpora material de fibra, hilado/torsión, tipo de nudo, ni jerarquía estructural — limitación explícita y dirección futura reconocida por el propio autor (p.27-28).</w:t>
      </w:r>
    </w:p>
    <w:p>
      <w:pPr>
        <w:pStyle w:val="ListParagraph"/>
        <w:numPr>
          <w:ilvl w:val="0"/>
          <w:numId w:val="1"/>
        </w:numPr>
        <w:spacing w:after="90"/>
      </w:pPr>
      <w:r>
        <w:rPr>
          <w:rFonts w:ascii="Calibri" w:cs="Calibri" w:eastAsia="Calibri" w:hAnsi="Calibri"/>
          <w:sz w:val="22"/>
          <w:szCs w:val="22"/>
        </w:rPr>
        <w:t xml:space="preserve">Cobertura de datos parcial: el OKR (629 khipus) es solo una fracción de los 1,386 khipus catalogados por Medrano (2021) — limita la generalización de los hallazgos al universo completo de khipus existentes (p.6).</w:t>
      </w:r>
    </w:p>
    <w:p>
      <w:pPr>
        <w:pStyle w:val="ListParagraph"/>
        <w:numPr>
          <w:ilvl w:val="0"/>
          <w:numId w:val="1"/>
        </w:numPr>
        <w:spacing w:after="90"/>
      </w:pPr>
      <w:r>
        <w:rPr>
          <w:rFonts w:ascii="Calibri" w:cs="Calibri" w:eastAsia="Calibri" w:hAnsi="Calibri"/>
          <w:sz w:val="22"/>
          <w:szCs w:val="22"/>
        </w:rPr>
        <w:t xml:space="preserve">Colores de muestra pequeña (p.ej. amarillo medio: 132 apariciones; gris medio: 93 apariciones) generan histogramas menos confiables por efecto de valores atípicos (p.9, 16).</w:t>
      </w:r>
    </w:p>
    <w:p>
      <w:pPr>
        <w:pStyle w:val="ListParagraph"/>
        <w:numPr>
          <w:ilvl w:val="0"/>
          <w:numId w:val="1"/>
        </w:numPr>
        <w:spacing w:after="90"/>
      </w:pPr>
      <w:r>
        <w:rPr>
          <w:rFonts w:ascii="Calibri" w:cs="Calibri" w:eastAsia="Calibri" w:hAnsi="Calibri"/>
          <w:sz w:val="22"/>
          <w:szCs w:val="22"/>
        </w:rPr>
        <w:t xml:space="preserve">El propio autor reconoce que no se puede distinguir con certeza homonimia de polisemia solo con similitud coseno; es una “estimación educada” basada en literatura de NLP análoga, no una prueba directa (p.10).</w:t>
      </w:r>
    </w:p>
    <w:p>
      <w:pPr>
        <w:pStyle w:val="ListParagraph"/>
        <w:numPr>
          <w:ilvl w:val="0"/>
          <w:numId w:val="1"/>
        </w:numPr>
        <w:spacing w:after="90"/>
      </w:pPr>
      <w:r>
        <w:rPr>
          <w:rFonts w:ascii="Calibri" w:cs="Calibri" w:eastAsia="Calibri" w:hAnsi="Calibri"/>
          <w:sz w:val="22"/>
          <w:szCs w:val="22"/>
        </w:rPr>
        <w:t xml:space="preserve">Las interpretaciones vinculadas a fuentes cronísticas (Calancha) son explícitamente calificadas de especulativas por el propio autor (p.25).</w:t>
      </w:r>
    </w:p>
    <w:p>
      <w:pPr>
        <w:pStyle w:val="Heading2"/>
        <w:spacing w:after="160" w:before="340"/>
      </w:pPr>
      <w:r>
        <w:t xml:space="preserve">8.11 Contribuciones</w:t>
      </w:r>
    </w:p>
    <w:p>
      <w:pPr>
        <w:pStyle w:val="ListParagraph"/>
        <w:numPr>
          <w:ilvl w:val="0"/>
          <w:numId w:val="1"/>
        </w:numPr>
        <w:spacing w:after="90"/>
      </w:pPr>
      <w:r>
        <w:rPr>
          <w:rFonts w:ascii="Calibri" w:cs="Calibri" w:eastAsia="Calibri" w:hAnsi="Calibri"/>
          <w:sz w:val="22"/>
          <w:szCs w:val="22"/>
        </w:rPr>
        <w:t xml:space="preserve">Primera aplicación de un modelo transformer entrenado específicamente sobre datos de color de khipu para inferir estructura semántica a escala de corpus completo (629 khipus), en vez de análisis khipu por khipu.</w:t>
      </w:r>
    </w:p>
    <w:p>
      <w:pPr>
        <w:pStyle w:val="ListParagraph"/>
        <w:numPr>
          <w:ilvl w:val="0"/>
          <w:numId w:val="1"/>
        </w:numPr>
        <w:spacing w:after="90"/>
      </w:pPr>
      <w:r>
        <w:rPr>
          <w:rFonts w:ascii="Calibri" w:cs="Calibri" w:eastAsia="Calibri" w:hAnsi="Calibri"/>
          <w:sz w:val="22"/>
          <w:szCs w:val="22"/>
        </w:rPr>
        <w:t xml:space="preserve">Evidencia cuantitativa de que el color de cuerda en los khipus incas constituye un sistema semántico coherente, con dominios distintos y relacionalmente opuestos.</w:t>
      </w:r>
    </w:p>
    <w:p>
      <w:pPr>
        <w:pStyle w:val="ListParagraph"/>
        <w:numPr>
          <w:ilvl w:val="0"/>
          <w:numId w:val="1"/>
        </w:numPr>
        <w:spacing w:after="90"/>
      </w:pPr>
      <w:r>
        <w:rPr>
          <w:rFonts w:ascii="Calibri" w:cs="Calibri" w:eastAsia="Calibri" w:hAnsi="Calibri"/>
          <w:sz w:val="22"/>
          <w:szCs w:val="22"/>
        </w:rPr>
        <w:t xml:space="preserve">Identificación de tres niveles de organización del vocabulario de color (fundacional/extensión/refinamiento).</w:t>
      </w:r>
    </w:p>
    <w:p>
      <w:pPr>
        <w:pStyle w:val="ListParagraph"/>
        <w:numPr>
          <w:ilvl w:val="0"/>
          <w:numId w:val="1"/>
        </w:numPr>
        <w:spacing w:after="90"/>
      </w:pPr>
      <w:r>
        <w:rPr>
          <w:rFonts w:ascii="Calibri" w:cs="Calibri" w:eastAsia="Calibri" w:hAnsi="Calibri"/>
          <w:sz w:val="22"/>
          <w:szCs w:val="22"/>
        </w:rPr>
        <w:t xml:space="preserve">Cuantificación de la polisemia del sistema de color (≥30 sentidos, hasta 488 sub-clústeres).</w:t>
      </w:r>
    </w:p>
    <w:p>
      <w:pPr>
        <w:pStyle w:val="ListParagraph"/>
        <w:numPr>
          <w:ilvl w:val="0"/>
          <w:numId w:val="1"/>
        </w:numPr>
        <w:spacing w:after="90"/>
      </w:pPr>
      <w:r>
        <w:rPr>
          <w:rFonts w:ascii="Calibri" w:cs="Calibri" w:eastAsia="Calibri" w:hAnsi="Calibri"/>
          <w:sz w:val="22"/>
          <w:szCs w:val="22"/>
        </w:rPr>
        <w:t xml:space="preserve">Validación cruzada con evidencia material independiente (varas envueltas de Inkawasi, 75% de correspondencia).</w:t>
      </w:r>
    </w:p>
    <w:p>
      <w:pPr>
        <w:pStyle w:val="ListParagraph"/>
        <w:numPr>
          <w:ilvl w:val="0"/>
          <w:numId w:val="1"/>
        </w:numPr>
        <w:spacing w:after="90"/>
      </w:pPr>
      <w:r>
        <w:rPr>
          <w:rFonts w:ascii="Calibri" w:cs="Calibri" w:eastAsia="Calibri" w:hAnsi="Calibri"/>
          <w:sz w:val="22"/>
          <w:szCs w:val="22"/>
        </w:rPr>
        <w:t xml:space="preserve">Metodología completamente reproducible, con datos y código abiertos (Zenodo).</w:t>
      </w:r>
    </w:p>
    <w:p>
      <w:pPr>
        <w:pStyle w:val="ListParagraph"/>
        <w:numPr>
          <w:ilvl w:val="0"/>
          <w:numId w:val="1"/>
        </w:numPr>
        <w:spacing w:after="90"/>
      </w:pPr>
      <w:r>
        <w:rPr>
          <w:rFonts w:ascii="Calibri" w:cs="Calibri" w:eastAsia="Calibri" w:hAnsi="Calibri"/>
          <w:sz w:val="22"/>
          <w:szCs w:val="22"/>
        </w:rPr>
        <w:t xml:space="preserve">Argumento metodológico transferible más allá de los khipus: el aprendizaje autosupervisado es valioso para arqueología porque permite hallar patrones en corpus digitales grandes sin necesidad de etiquetado manual costoso (p.28).</w:t>
      </w:r>
    </w:p>
    <w:p>
      <w:pPr>
        <w:pStyle w:val="Heading2"/>
        <w:spacing w:after="160" w:before="340"/>
      </w:pPr>
      <w:r>
        <w:t xml:space="preserve">8.12 Novedad</w:t>
      </w:r>
    </w:p>
    <w:p>
      <w:pPr>
        <w:spacing w:after="160"/>
        <w:jc w:val="both"/>
      </w:pPr>
      <w:r>
        <w:rPr>
          <w:rFonts w:ascii="Calibri" w:cs="Calibri" w:eastAsia="Calibri" w:hAnsi="Calibri"/>
          <w:sz w:val="22"/>
          <w:szCs w:val="22"/>
        </w:rPr>
        <w:t xml:space="preserve">Es, según el propio texto, el primer estudio que aplica explícitamente técnicas de desambiguación de sentido de palabra (Word Sense Disambiguation) de procesamiento de lenguaje natural —embeddings contextuales, BERT, clustering HDBSCAN/UMAP— al problema del color en khipus. La escala del análisis (629 khipus) supera ampliamente los estudios previos, centrados en analogías con casos etnográficos puntuales (Anchucaya, Hyland) o pares de khipus (Inkawasi, la propia disertación de Clindaniel de 2019). El marco conceptual de tres “conjuntos” de color (fundacional/extensión/refinamiento) no aparece, hasta donde permite verificar el corpus revisado, en ningún estudio previo.</w:t>
      </w:r>
    </w:p>
    <w:p>
      <w:pPr>
        <w:pStyle w:val="Heading2"/>
        <w:spacing w:after="160" w:before="340"/>
      </w:pPr>
      <w:r>
        <w:t xml:space="preserve">8.13 Relación con investigaciones anteriores</w:t>
      </w:r>
    </w:p>
    <w:p>
      <w:pPr>
        <w:pStyle w:val="ListParagraph"/>
        <w:numPr>
          <w:ilvl w:val="0"/>
          <w:numId w:val="1"/>
        </w:numPr>
        <w:spacing w:after="90"/>
      </w:pPr>
      <w:r>
        <w:rPr>
          <w:rFonts w:ascii="Calibri" w:cs="Calibri" w:eastAsia="Calibri" w:hAnsi="Calibri"/>
          <w:sz w:val="22"/>
          <w:szCs w:val="22"/>
        </w:rPr>
        <w:t xml:space="preserve">Clindaniel (2019, disertación): el propio autor construye directamente sobre su marco teórico de oposición relacional de colores y su análisis de las varas envueltas de Inkawasi; el nuevo estudio computacional confirma cuantitativamente, a mayor escala, varias intuiciones cualitativas de la disertación (p.23, 26-27).</w:t>
      </w:r>
    </w:p>
    <w:p>
      <w:pPr>
        <w:pStyle w:val="ListParagraph"/>
        <w:numPr>
          <w:ilvl w:val="0"/>
          <w:numId w:val="1"/>
        </w:numPr>
        <w:spacing w:after="90"/>
      </w:pPr>
      <w:r>
        <w:rPr>
          <w:rFonts w:ascii="Calibri" w:cs="Calibri" w:eastAsia="Calibri" w:hAnsi="Calibri"/>
          <w:sz w:val="22"/>
          <w:szCs w:val="22"/>
        </w:rPr>
        <w:t xml:space="preserve">Hyland (2016, 2017, 2020): antecedente directo del concepto de indexicalidad del color (banding/seriación en Anchucaya, khipus Collata); el paper de 2024 contrasta su alcance —khipus específicos y tardíos— con el alcance imperial del nuevo estudio (p.2-3).</w:t>
      </w:r>
    </w:p>
    <w:p>
      <w:pPr>
        <w:pStyle w:val="ListParagraph"/>
        <w:numPr>
          <w:ilvl w:val="0"/>
          <w:numId w:val="1"/>
        </w:numPr>
        <w:spacing w:after="90"/>
      </w:pPr>
      <w:r>
        <w:rPr>
          <w:rFonts w:ascii="Calibri" w:cs="Calibri" w:eastAsia="Calibri" w:hAnsi="Calibri"/>
          <w:sz w:val="22"/>
          <w:szCs w:val="22"/>
        </w:rPr>
        <w:t xml:space="preserve">Medrano y Khosla (2024): se cita su hallazgo sobre cuerdas blancas como marcadores de “sum clusters” como pista parcial sobre el significado del blanco, que Clindaniel (2024) matiza con el caso KH0503/KH0491 (p.3-4; ver debate documentado en la sección 7.1 de este documento).</w:t>
      </w:r>
    </w:p>
    <w:p>
      <w:pPr>
        <w:pStyle w:val="ListParagraph"/>
        <w:numPr>
          <w:ilvl w:val="0"/>
          <w:numId w:val="1"/>
        </w:numPr>
        <w:spacing w:after="90"/>
      </w:pPr>
      <w:r>
        <w:rPr>
          <w:rFonts w:ascii="Calibri" w:cs="Calibri" w:eastAsia="Calibri" w:hAnsi="Calibri"/>
          <w:sz w:val="22"/>
          <w:szCs w:val="22"/>
        </w:rPr>
        <w:t xml:space="preserve">Urton y Chu (2015, 2019): excavación de Inkawasi, khipus pareados de contabilidad de almacén — base empírica de los casos KH0503/KH0491 discutidos en detalle (p.3).</w:t>
      </w:r>
    </w:p>
    <w:p>
      <w:pPr>
        <w:pStyle w:val="ListParagraph"/>
        <w:numPr>
          <w:ilvl w:val="0"/>
          <w:numId w:val="1"/>
        </w:numPr>
        <w:spacing w:after="90"/>
      </w:pPr>
      <w:r>
        <w:rPr>
          <w:rFonts w:ascii="Calibri" w:cs="Calibri" w:eastAsia="Calibri" w:hAnsi="Calibri"/>
          <w:sz w:val="22"/>
          <w:szCs w:val="22"/>
        </w:rPr>
        <w:t xml:space="preserve">Brezine et al. (2024): el paper usa directamente la convención de nombres KH#### de ese estudio (p.7).</w:t>
      </w:r>
    </w:p>
    <w:p>
      <w:pPr>
        <w:pStyle w:val="ListParagraph"/>
        <w:numPr>
          <w:ilvl w:val="0"/>
          <w:numId w:val="1"/>
        </w:numPr>
        <w:spacing w:after="90"/>
      </w:pPr>
      <w:r>
        <w:rPr>
          <w:rFonts w:ascii="Calibri" w:cs="Calibri" w:eastAsia="Calibri" w:hAnsi="Calibri"/>
          <w:sz w:val="22"/>
          <w:szCs w:val="22"/>
        </w:rPr>
        <w:t xml:space="preserve">Ascher y Ascher (1978): sistema de codificación de color original, más granular que el KCCS usado aquí; el paper verifica que agregar los códigos Ascher en KCCS no introduce distorsión relevante en los resultados (p.12-13).</w:t>
      </w:r>
    </w:p>
    <w:p>
      <w:pPr>
        <w:pStyle w:val="ListParagraph"/>
        <w:numPr>
          <w:ilvl w:val="0"/>
          <w:numId w:val="1"/>
        </w:numPr>
        <w:spacing w:after="90"/>
      </w:pPr>
      <w:r>
        <w:rPr>
          <w:rFonts w:ascii="Calibri" w:cs="Calibri" w:eastAsia="Calibri" w:hAnsi="Calibri"/>
          <w:sz w:val="22"/>
          <w:szCs w:val="22"/>
        </w:rPr>
        <w:t xml:space="preserve">Medrano (2021): citado como fuente del dato de 1,386 khipus conocidos en museos y colecciones, usado para contextualizar el OKR como fracción del universo total (p.6).</w:t>
      </w:r>
    </w:p>
    <w:p>
      <w:pPr>
        <w:pStyle w:val="Heading2"/>
        <w:spacing w:after="160" w:before="340"/>
      </w:pPr>
      <w:r>
        <w:t xml:space="preserve">8.14 Relación con los demás PDFs del corpus</w:t>
      </w:r>
    </w:p>
    <w:p>
      <w:pPr>
        <w:spacing w:after="160"/>
        <w:jc w:val="both"/>
      </w:pPr>
      <w:r>
        <w:rPr>
          <w:rFonts w:ascii="Calibri" w:cs="Calibri" w:eastAsia="Calibri" w:hAnsi="Calibri"/>
          <w:sz w:val="22"/>
          <w:szCs w:val="22"/>
        </w:rPr>
        <w:t xml:space="preserve">Comparte corpus (OKR) y convención de nombres (KH####) con Brezine et al. (2024). Comparte preocupación por métodos cuantitativos a gran escala con Medrano y Khosla (2024), aunque este último se centra en relaciones aritméticas/sumas, no en color, y ambos estudios de 2024 mantienen un diálogo explícito y no resuelto sobre el significado del color blanco (sección 7.1). Es la aplicación empírica y computacional directa de la teoría semiótica desarrollada en la propia disertación de Clindaniel (2019). El libro de Medrano (2021) es la fuente del dato sobre el universo total de khipus conocidos (1,386) y ofrece el contexto histórico y divulgativo más amplio en el que insertar este estudio técnico; además, en su capítulo 6, Medrano (2021) anticipa —como propuesta, no como resultado— el mismo tipo de aplicación de aprendizaje automático que Clindaniel (2024) termina de ejecutar. No se encontraron referencias cruzadas directas con el Basel Khipu Report en el texto de este paper (documento centrado en convenciones de registro de datos, no en resultados de color).</w:t>
      </w:r>
    </w:p>
    <w:p>
      <w:pPr>
        <w:pStyle w:val="Heading2"/>
        <w:spacing w:after="160" w:before="340"/>
      </w:pPr>
      <w:r>
        <w:t xml:space="preserve">8.15 Posibles líneas de investigación derivadas</w:t>
      </w:r>
    </w:p>
    <w:p>
      <w:pPr>
        <w:spacing w:after="160"/>
        <w:jc w:val="both"/>
      </w:pPr>
      <w:r>
        <w:rPr>
          <w:rFonts w:ascii="Calibri" w:cs="Calibri" w:eastAsia="Calibri" w:hAnsi="Calibri"/>
          <w:sz w:val="22"/>
          <w:szCs w:val="22"/>
        </w:rPr>
        <w:t xml:space="preserve">Explícitamente propuestas por el propio autor en las secciones de discusión y conclusión del paper:</w:t>
      </w:r>
    </w:p>
    <w:p>
      <w:pPr>
        <w:pStyle w:val="ListParagraph"/>
        <w:numPr>
          <w:ilvl w:val="0"/>
          <w:numId w:val="1"/>
        </w:numPr>
        <w:spacing w:after="90"/>
      </w:pPr>
      <w:r>
        <w:rPr>
          <w:rFonts w:ascii="Calibri" w:cs="Calibri" w:eastAsia="Calibri" w:hAnsi="Calibri"/>
          <w:sz w:val="22"/>
          <w:szCs w:val="22"/>
        </w:rPr>
        <w:t xml:space="preserve">1. Incorporar el material de la cuerda (algodón, camélido, cabello humano) como variable adicional en el modelo (p.27-28).</w:t>
      </w:r>
    </w:p>
    <w:p>
      <w:pPr>
        <w:pStyle w:val="ListParagraph"/>
        <w:numPr>
          <w:ilvl w:val="0"/>
          <w:numId w:val="1"/>
        </w:numPr>
        <w:spacing w:after="90"/>
      </w:pPr>
      <w:r>
        <w:rPr>
          <w:rFonts w:ascii="Calibri" w:cs="Calibri" w:eastAsia="Calibri" w:hAnsi="Calibri"/>
          <w:sz w:val="22"/>
          <w:szCs w:val="22"/>
        </w:rPr>
        <w:t xml:space="preserve">2. Incorporar niveles jerárquicos superiores del khipu (cuerda primaria, kaytes) como contexto adicional para resolver polisemia (p.27).</w:t>
      </w:r>
    </w:p>
    <w:p>
      <w:pPr>
        <w:pStyle w:val="ListParagraph"/>
        <w:numPr>
          <w:ilvl w:val="0"/>
          <w:numId w:val="1"/>
        </w:numPr>
        <w:spacing w:after="90"/>
      </w:pPr>
      <w:r>
        <w:rPr>
          <w:rFonts w:ascii="Calibri" w:cs="Calibri" w:eastAsia="Calibri" w:hAnsi="Calibri"/>
          <w:sz w:val="22"/>
          <w:szCs w:val="22"/>
        </w:rPr>
        <w:t xml:space="preserve">3. Investigar si existían “determinativos” formales que ayudaran a resolver el sentido de un color, o si la polisemia se resolvía solo por contexto (p.27).</w:t>
      </w:r>
    </w:p>
    <w:p>
      <w:pPr>
        <w:pStyle w:val="ListParagraph"/>
        <w:numPr>
          <w:ilvl w:val="0"/>
          <w:numId w:val="1"/>
        </w:numPr>
        <w:spacing w:after="90"/>
      </w:pPr>
      <w:r>
        <w:rPr>
          <w:rFonts w:ascii="Calibri" w:cs="Calibri" w:eastAsia="Calibri" w:hAnsi="Calibri"/>
          <w:sz w:val="22"/>
          <w:szCs w:val="22"/>
        </w:rPr>
        <w:t xml:space="preserve">4. Extender el análisis computacional a khipus preincas (wari) y “proto-khipus” (varas y cuerdas envueltas de Cerrillos, Splitstoser 2014) para explorar continuidad histórica de la polisemia (p.28).</w:t>
      </w:r>
    </w:p>
    <w:p>
      <w:pPr>
        <w:pStyle w:val="ListParagraph"/>
        <w:numPr>
          <w:ilvl w:val="0"/>
          <w:numId w:val="1"/>
        </w:numPr>
        <w:spacing w:after="90"/>
      </w:pPr>
      <w:r>
        <w:rPr>
          <w:rFonts w:ascii="Calibri" w:cs="Calibri" w:eastAsia="Calibri" w:hAnsi="Calibri"/>
          <w:sz w:val="22"/>
          <w:szCs w:val="22"/>
        </w:rPr>
        <w:t xml:space="preserve">5. Ampliar la digitalización del OKR con khipus de más eras (preinca, inca, poscolonial) para permitir comparaciones computacionales entre periodos — prioridad explícita del consejo asesor del OKR (p.28).</w:t>
      </w:r>
    </w:p>
    <w:p>
      <w:pPr>
        <w:pStyle w:val="ListParagraph"/>
        <w:numPr>
          <w:ilvl w:val="0"/>
          <w:numId w:val="1"/>
        </w:numPr>
        <w:spacing w:after="90"/>
      </w:pPr>
      <w:r>
        <w:rPr>
          <w:rFonts w:ascii="Calibri" w:cs="Calibri" w:eastAsia="Calibri" w:hAnsi="Calibri"/>
          <w:sz w:val="22"/>
          <w:szCs w:val="22"/>
        </w:rPr>
        <w:t xml:space="preserve">6. Aplicar el mismo enfoque de aprendizaje autosupervisado a otros dominios de datos arqueológicos secuenciales no etiquetados (imágenes, descripciones textuales, plantas estratigráficas) (p.28).</w:t>
      </w:r>
    </w:p>
    <w:p>
      <w:pPr>
        <w:pStyle w:val="ListParagraph"/>
        <w:numPr>
          <w:ilvl w:val="0"/>
          <w:numId w:val="1"/>
        </w:numPr>
        <w:spacing w:after="90"/>
      </w:pPr>
      <w:r>
        <w:rPr>
          <w:rFonts w:ascii="Calibri" w:cs="Calibri" w:eastAsia="Calibri" w:hAnsi="Calibri"/>
          <w:sz w:val="22"/>
          <w:szCs w:val="22"/>
        </w:rPr>
        <w:t xml:space="preserve">7. Investigar qué presta atención el modelo internamente (interpretabilidad del mecanismo de atención) al codificar una secuencia de colores (p.27).</w:t>
      </w:r>
    </w:p>
    <w:p>
      <w:pPr>
        <w:pStyle w:val="Heading3"/>
        <w:spacing w:after="120" w:before="240"/>
      </w:pPr>
      <w:r>
        <w:t xml:space="preserve">Nota para el proyecto open-khipu-repository</w:t>
      </w:r>
    </w:p>
    <w:p>
      <w:pPr>
        <w:spacing w:after="160"/>
        <w:jc w:val="both"/>
      </w:pPr>
      <w:r>
        <w:rPr>
          <w:rFonts w:ascii="Calibri" w:cs="Calibri" w:eastAsia="Calibri" w:hAnsi="Calibri"/>
          <w:sz w:val="22"/>
          <w:szCs w:val="22"/>
        </w:rPr>
        <w:t xml:space="preserve">Este paper usa directamente el Open Khipu Repository (OKR) como fuente de datos y depende del Khipu Color Code System (KCCS) como esquema de codificación reutilizable. El código de entrenamiento y análisis está publicado en Zenodo (doi:10.5281/zenodo.11218148), lo que lo convierte en un punto de partida técnico concreto y reproducible para cualquier trabajo futuro de inteligencia artificial aplicada a khipus. La estructura técnica del OKR descrita en Brezine et al. (2024) —base de datos relacional SQLite, tabla KHIPU_MAIN, campos KHIPU_ID/INVESTIGATOR_NUM/OKR_NUM— es, hasta donde permite verificar este corpus, la referencia de esquema más directamente comparable a una base de datos local de khipus como la mencionada en la memoria de este proyecto (khipu.db). Se recomienda verificar directamente si esa base de datos local es una copia, una réplica parcial o un esquema independiente del OKR, ya que de ello depende la compatibilidad directa con el código y los datos publicados en Zenodo (ver también sección 12).</w:t>
      </w:r>
    </w:p>
    <w:p>
      <w:pPr>
        <w:sectPr>
          <w:footerReference w:type="default" r:id="rId7"/>
          <w:pgSz w:w="12240" w:h="15840" w:orient="portrait"/>
          <w:pgMar w:top="1440" w:right="1440" w:bottom="1440" w:left="1440" w:header="708" w:footer="708" w:gutter="0"/>
          <w:pgNumType/>
          <w:docGrid w:linePitch="360"/>
        </w:sectPr>
      </w:pPr>
    </w:p>
    <w:p>
      <w:pPr>
        <w:pStyle w:val="Heading1"/>
        <w:spacing w:after="240" w:before="480"/>
      </w:pPr>
      <w:r>
        <w:t xml:space="preserve">9. Comparación entre las fuentes (tabla maestra)</w:t>
      </w:r>
    </w:p>
    <w:p>
      <w:pPr>
        <w:spacing w:after="160"/>
        <w:jc w:val="both"/>
      </w:pPr>
      <w:r>
        <w:rPr>
          <w:rFonts w:ascii="Calibri" w:cs="Calibri" w:eastAsia="Calibri" w:hAnsi="Calibri"/>
          <w:sz w:val="22"/>
          <w:szCs w:val="22"/>
        </w:rPr>
        <w:t xml:space="preserve">Tabla maestra de las 8 fuentes analizadas. Esta tabla está pensada como el punto de entrada principal para incorporar nuevas fuentes en versiones futuras del documento: cada fila nueva debe seguir la misma estructura de columnas.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900"/>
        <w:gridCol w:w="2000"/>
        <w:gridCol w:w="2000"/>
        <w:gridCol w:w="2300"/>
        <w:gridCol w:w="2000"/>
        <w:gridCol w:w="2000"/>
      </w:tblGrid>
      <w:tr>
        <w:trPr>
          <w:tblHeader/>
        </w:trPr>
        <w:tc>
          <w:tcPr>
            <w:tcW w:type="dxa" w:w="1500"/>
            <w:shd w:fill="2F5496" w:val="clear"/>
            <w:tcMar>
              <w:top w:type="dxa" w:w="60"/>
              <w:left w:type="dxa" w:w="80"/>
              <w:bottom w:type="dxa" w:w="60"/>
              <w:right w:type="dxa" w:w="80"/>
            </w:tcMar>
          </w:tcPr>
          <w:p>
            <w:r>
              <w:rPr>
                <w:rFonts w:ascii="Calibri" w:cs="Calibri" w:eastAsia="Calibri" w:hAnsi="Calibri"/>
                <w:b/>
                <w:bCs/>
                <w:color w:val="FFFFFF"/>
                <w:sz w:val="17"/>
                <w:szCs w:val="17"/>
              </w:rPr>
              <w:t xml:space="preserve">Fuente (archivo)</w:t>
            </w:r>
          </w:p>
        </w:tc>
        <w:tc>
          <w:tcPr>
            <w:tcW w:type="dxa" w:w="700"/>
            <w:shd w:fill="2F5496" w:val="clear"/>
            <w:tcMar>
              <w:top w:type="dxa" w:w="60"/>
              <w:left w:type="dxa" w:w="80"/>
              <w:bottom w:type="dxa" w:w="60"/>
              <w:right w:type="dxa" w:w="80"/>
            </w:tcMar>
          </w:tcPr>
          <w:p>
            <w:r>
              <w:rPr>
                <w:rFonts w:ascii="Calibri" w:cs="Calibri" w:eastAsia="Calibri" w:hAnsi="Calibri"/>
                <w:b/>
                <w:bCs/>
                <w:color w:val="FFFFFF"/>
                <w:sz w:val="17"/>
                <w:szCs w:val="17"/>
              </w:rPr>
              <w:t xml:space="preserve">Año</w:t>
            </w:r>
          </w:p>
        </w:tc>
        <w:tc>
          <w:tcPr>
            <w:tcW w:type="dxa" w:w="1900"/>
            <w:shd w:fill="2F5496" w:val="clear"/>
            <w:tcMar>
              <w:top w:type="dxa" w:w="60"/>
              <w:left w:type="dxa" w:w="80"/>
              <w:bottom w:type="dxa" w:w="60"/>
              <w:right w:type="dxa" w:w="80"/>
            </w:tcMar>
          </w:tcPr>
          <w:p>
            <w:r>
              <w:rPr>
                <w:rFonts w:ascii="Calibri" w:cs="Calibri" w:eastAsia="Calibri" w:hAnsi="Calibri"/>
                <w:b/>
                <w:bCs/>
                <w:color w:val="FFFFFF"/>
                <w:sz w:val="17"/>
                <w:szCs w:val="17"/>
              </w:rPr>
              <w:t xml:space="preserve">Tema</w:t>
            </w:r>
          </w:p>
        </w:tc>
        <w:tc>
          <w:tcPr>
            <w:tcW w:type="dxa" w:w="2000"/>
            <w:shd w:fill="2F5496" w:val="clear"/>
            <w:tcMar>
              <w:top w:type="dxa" w:w="60"/>
              <w:left w:type="dxa" w:w="80"/>
              <w:bottom w:type="dxa" w:w="60"/>
              <w:right w:type="dxa" w:w="80"/>
            </w:tcMar>
          </w:tcPr>
          <w:p>
            <w:r>
              <w:rPr>
                <w:rFonts w:ascii="Calibri" w:cs="Calibri" w:eastAsia="Calibri" w:hAnsi="Calibri"/>
                <w:b/>
                <w:bCs/>
                <w:color w:val="FFFFFF"/>
                <w:sz w:val="17"/>
                <w:szCs w:val="17"/>
              </w:rPr>
              <w:t xml:space="preserve">Datos</w:t>
            </w:r>
          </w:p>
        </w:tc>
        <w:tc>
          <w:tcPr>
            <w:tcW w:type="dxa" w:w="2000"/>
            <w:shd w:fill="2F5496" w:val="clear"/>
            <w:tcMar>
              <w:top w:type="dxa" w:w="60"/>
              <w:left w:type="dxa" w:w="80"/>
              <w:bottom w:type="dxa" w:w="60"/>
              <w:right w:type="dxa" w:w="80"/>
            </w:tcMar>
          </w:tcPr>
          <w:p>
            <w:r>
              <w:rPr>
                <w:rFonts w:ascii="Calibri" w:cs="Calibri" w:eastAsia="Calibri" w:hAnsi="Calibri"/>
                <w:b/>
                <w:bCs/>
                <w:color w:val="FFFFFF"/>
                <w:sz w:val="17"/>
                <w:szCs w:val="17"/>
              </w:rPr>
              <w:t xml:space="preserve">Método</w:t>
            </w:r>
          </w:p>
        </w:tc>
        <w:tc>
          <w:tcPr>
            <w:tcW w:type="dxa" w:w="2300"/>
            <w:shd w:fill="2F5496" w:val="clear"/>
            <w:tcMar>
              <w:top w:type="dxa" w:w="60"/>
              <w:left w:type="dxa" w:w="80"/>
              <w:bottom w:type="dxa" w:w="60"/>
              <w:right w:type="dxa" w:w="80"/>
            </w:tcMar>
          </w:tcPr>
          <w:p>
            <w:r>
              <w:rPr>
                <w:rFonts w:ascii="Calibri" w:cs="Calibri" w:eastAsia="Calibri" w:hAnsi="Calibri"/>
                <w:b/>
                <w:bCs/>
                <w:color w:val="FFFFFF"/>
                <w:sz w:val="17"/>
                <w:szCs w:val="17"/>
              </w:rPr>
              <w:t xml:space="preserve">Principal contribución</w:t>
            </w:r>
          </w:p>
        </w:tc>
        <w:tc>
          <w:tcPr>
            <w:tcW w:type="dxa" w:w="2000"/>
            <w:shd w:fill="2F5496" w:val="clear"/>
            <w:tcMar>
              <w:top w:type="dxa" w:w="60"/>
              <w:left w:type="dxa" w:w="80"/>
              <w:bottom w:type="dxa" w:w="60"/>
              <w:right w:type="dxa" w:w="80"/>
            </w:tcMar>
          </w:tcPr>
          <w:p>
            <w:r>
              <w:rPr>
                <w:rFonts w:ascii="Calibri" w:cs="Calibri" w:eastAsia="Calibri" w:hAnsi="Calibri"/>
                <w:b/>
                <w:bCs/>
                <w:color w:val="FFFFFF"/>
                <w:sz w:val="17"/>
                <w:szCs w:val="17"/>
              </w:rPr>
              <w:t xml:space="preserve">Limitaciones</w:t>
            </w:r>
          </w:p>
        </w:tc>
        <w:tc>
          <w:tcPr>
            <w:tcW w:type="dxa" w:w="2000"/>
            <w:shd w:fill="2F5496" w:val="clear"/>
            <w:tcMar>
              <w:top w:type="dxa" w:w="60"/>
              <w:left w:type="dxa" w:w="80"/>
              <w:bottom w:type="dxa" w:w="60"/>
              <w:right w:type="dxa" w:w="80"/>
            </w:tcMar>
          </w:tcPr>
          <w:p>
            <w:r>
              <w:rPr>
                <w:rFonts w:ascii="Calibri" w:cs="Calibri" w:eastAsia="Calibri" w:hAnsi="Calibri"/>
                <w:b/>
                <w:bCs/>
                <w:color w:val="FFFFFF"/>
                <w:sz w:val="17"/>
                <w:szCs w:val="17"/>
              </w:rPr>
              <w:t xml:space="preserve">Relación con otras fuentes</w:t>
            </w:r>
          </w:p>
        </w:tc>
      </w:tr>
      <w:tr>
        <w:trPr>
          <w:cantSplit/>
        </w:trPr>
        <w:tc>
          <w:tcPr>
            <w:tcW w:type="dxa" w:w="1500"/>
            <w:shd w:fill="F2F2F2" w:val="clear"/>
            <w:tcMar>
              <w:top w:type="dxa" w:w="60"/>
              <w:left w:type="dxa" w:w="80"/>
              <w:bottom w:type="dxa" w:w="60"/>
              <w:right w:type="dxa" w:w="80"/>
            </w:tcMar>
          </w:tcPr>
          <w:p>
            <w:r>
              <w:rPr>
                <w:rFonts w:ascii="Calibri" w:cs="Calibri" w:eastAsia="Calibri" w:hAnsi="Calibri"/>
                <w:sz w:val="15"/>
                <w:szCs w:val="15"/>
              </w:rPr>
              <w:t xml:space="preserve">47664_1_QUIPUS-BIBLIOGRAFIA.pdf</w:t>
            </w:r>
          </w:p>
        </w:tc>
        <w:tc>
          <w:tcPr>
            <w:tcW w:type="dxa" w:w="700"/>
            <w:shd w:fill="F2F2F2" w:val="clear"/>
            <w:tcMar>
              <w:top w:type="dxa" w:w="60"/>
              <w:left w:type="dxa" w:w="80"/>
              <w:bottom w:type="dxa" w:w="60"/>
              <w:right w:type="dxa" w:w="80"/>
            </w:tcMar>
          </w:tcPr>
          <w:p>
            <w:r>
              <w:rPr>
                <w:rFonts w:ascii="Calibri" w:cs="Calibri" w:eastAsia="Calibri" w:hAnsi="Calibri"/>
                <w:sz w:val="15"/>
                <w:szCs w:val="15"/>
              </w:rPr>
              <w:t xml:space="preserve">2021</w:t>
            </w:r>
          </w:p>
        </w:tc>
        <w:tc>
          <w:tcPr>
            <w:tcW w:type="dxa" w:w="1900"/>
            <w:shd w:fill="F2F2F2" w:val="clear"/>
            <w:tcMar>
              <w:top w:type="dxa" w:w="60"/>
              <w:left w:type="dxa" w:w="80"/>
              <w:bottom w:type="dxa" w:w="60"/>
              <w:right w:type="dxa" w:w="80"/>
            </w:tcMar>
          </w:tcPr>
          <w:p>
            <w:r>
              <w:rPr>
                <w:rFonts w:ascii="Calibri" w:cs="Calibri" w:eastAsia="Calibri" w:hAnsi="Calibri"/>
                <w:sz w:val="15"/>
                <w:szCs w:val="15"/>
              </w:rPr>
              <w:t xml:space="preserve">Bibliografía del libro de Medrano (2021)</w:t>
            </w:r>
          </w:p>
        </w:tc>
        <w:tc>
          <w:tcPr>
            <w:tcW w:type="dxa" w:w="2000"/>
            <w:shd w:fill="F2F2F2" w:val="clear"/>
            <w:tcMar>
              <w:top w:type="dxa" w:w="60"/>
              <w:left w:type="dxa" w:w="80"/>
              <w:bottom w:type="dxa" w:w="60"/>
              <w:right w:type="dxa" w:w="80"/>
            </w:tcMar>
          </w:tcPr>
          <w:p>
            <w:r>
              <w:rPr>
                <w:rFonts w:ascii="Calibri" w:cs="Calibri" w:eastAsia="Calibri" w:hAnsi="Calibri"/>
                <w:sz w:val="15"/>
                <w:szCs w:val="15"/>
              </w:rPr>
              <w:t xml:space="preserve">~250 referencias bibliográficas, 1888-2021</w:t>
            </w:r>
          </w:p>
        </w:tc>
        <w:tc>
          <w:tcPr>
            <w:tcW w:type="dxa" w:w="2000"/>
            <w:shd w:fill="F2F2F2" w:val="clear"/>
            <w:tcMar>
              <w:top w:type="dxa" w:w="60"/>
              <w:left w:type="dxa" w:w="80"/>
              <w:bottom w:type="dxa" w:w="60"/>
              <w:right w:type="dxa" w:w="80"/>
            </w:tcMar>
          </w:tcPr>
          <w:p>
            <w:r>
              <w:rPr>
                <w:rFonts w:ascii="Calibri" w:cs="Calibri" w:eastAsia="Calibri" w:hAnsi="Calibri"/>
                <w:sz w:val="15"/>
                <w:szCs w:val="15"/>
              </w:rPr>
              <w:t xml:space="preserve">Compilación bibliográfica (sin análisis propio)</w:t>
            </w:r>
          </w:p>
        </w:tc>
        <w:tc>
          <w:tcPr>
            <w:tcW w:type="dxa" w:w="2300"/>
            <w:shd w:fill="F2F2F2" w:val="clear"/>
            <w:tcMar>
              <w:top w:type="dxa" w:w="60"/>
              <w:left w:type="dxa" w:w="80"/>
              <w:bottom w:type="dxa" w:w="60"/>
              <w:right w:type="dxa" w:w="80"/>
            </w:tcMar>
          </w:tcPr>
          <w:p>
            <w:r>
              <w:rPr>
                <w:rFonts w:ascii="Calibri" w:cs="Calibri" w:eastAsia="Calibri" w:hAnsi="Calibri"/>
                <w:sz w:val="15"/>
                <w:szCs w:val="15"/>
              </w:rPr>
              <w:t xml:space="preserve">Mapa del alcance disciplinario e idiomático de la literatura sobre quipus</w:t>
            </w:r>
          </w:p>
        </w:tc>
        <w:tc>
          <w:tcPr>
            <w:tcW w:type="dxa" w:w="2000"/>
            <w:shd w:fill="F2F2F2" w:val="clear"/>
            <w:tcMar>
              <w:top w:type="dxa" w:w="60"/>
              <w:left w:type="dxa" w:w="80"/>
              <w:bottom w:type="dxa" w:w="60"/>
              <w:right w:type="dxa" w:w="80"/>
            </w:tcMar>
          </w:tcPr>
          <w:p>
            <w:r>
              <w:rPr>
                <w:rFonts w:ascii="Calibri" w:cs="Calibri" w:eastAsia="Calibri" w:hAnsi="Calibri"/>
                <w:sz w:val="15"/>
                <w:szCs w:val="15"/>
              </w:rPr>
              <w:t xml:space="preserve">No es un estudio independiente; sin resultados propios</w:t>
            </w:r>
          </w:p>
        </w:tc>
        <w:tc>
          <w:tcPr>
            <w:tcW w:type="dxa" w:w="2000"/>
            <w:shd w:fill="F2F2F2" w:val="clear"/>
            <w:tcMar>
              <w:top w:type="dxa" w:w="60"/>
              <w:left w:type="dxa" w:w="80"/>
              <w:bottom w:type="dxa" w:w="60"/>
              <w:right w:type="dxa" w:w="80"/>
            </w:tcMar>
          </w:tcPr>
          <w:p>
            <w:r>
              <w:rPr>
                <w:rFonts w:ascii="Calibri" w:cs="Calibri" w:eastAsia="Calibri" w:hAnsi="Calibri"/>
                <w:sz w:val="15"/>
                <w:szCs w:val="15"/>
              </w:rPr>
              <w:t xml:space="preserve">Es la bibliografía de “Medrano 2021 - Quipus.pdf” (misma fuente)</w:t>
            </w:r>
          </w:p>
        </w:tc>
      </w:tr>
      <w:tr>
        <w:trPr>
          <w:cantSplit/>
        </w:trPr>
        <w:tc>
          <w:tcPr>
            <w:tcW w:type="dxa" w:w="1500"/>
            <w:shd w:fill="FFFFFF" w:val="clear"/>
            <w:tcMar>
              <w:top w:type="dxa" w:w="60"/>
              <w:left w:type="dxa" w:w="80"/>
              <w:bottom w:type="dxa" w:w="60"/>
              <w:right w:type="dxa" w:w="80"/>
            </w:tcMar>
          </w:tcPr>
          <w:p>
            <w:r>
              <w:rPr>
                <w:rFonts w:ascii="Calibri" w:cs="Calibri" w:eastAsia="Calibri" w:hAnsi="Calibri"/>
                <w:sz w:val="15"/>
                <w:szCs w:val="15"/>
              </w:rPr>
              <w:t xml:space="preserve">47665_1_QUIPUS-ANEXOS.pdf</w:t>
            </w:r>
          </w:p>
        </w:tc>
        <w:tc>
          <w:tcPr>
            <w:tcW w:type="dxa" w:w="700"/>
            <w:shd w:fill="FFFFFF" w:val="clear"/>
            <w:tcMar>
              <w:top w:type="dxa" w:w="60"/>
              <w:left w:type="dxa" w:w="80"/>
              <w:bottom w:type="dxa" w:w="60"/>
              <w:right w:type="dxa" w:w="80"/>
            </w:tcMar>
          </w:tcPr>
          <w:p>
            <w:r>
              <w:rPr>
                <w:rFonts w:ascii="Calibri" w:cs="Calibri" w:eastAsia="Calibri" w:hAnsi="Calibri"/>
                <w:sz w:val="15"/>
                <w:szCs w:val="15"/>
              </w:rPr>
              <w:t xml:space="preserve">2021</w:t>
            </w:r>
          </w:p>
        </w:tc>
        <w:tc>
          <w:tcPr>
            <w:tcW w:type="dxa" w:w="1900"/>
            <w:shd w:fill="FFFFFF" w:val="clear"/>
            <w:tcMar>
              <w:top w:type="dxa" w:w="60"/>
              <w:left w:type="dxa" w:w="80"/>
              <w:bottom w:type="dxa" w:w="60"/>
              <w:right w:type="dxa" w:w="80"/>
            </w:tcMar>
          </w:tcPr>
          <w:p>
            <w:r>
              <w:rPr>
                <w:rFonts w:ascii="Calibri" w:cs="Calibri" w:eastAsia="Calibri" w:hAnsi="Calibri"/>
                <w:sz w:val="15"/>
                <w:szCs w:val="15"/>
              </w:rPr>
              <w:t xml:space="preserve">Inventario global de quipus en museos y colecciones</w:t>
            </w:r>
          </w:p>
        </w:tc>
        <w:tc>
          <w:tcPr>
            <w:tcW w:type="dxa" w:w="2000"/>
            <w:shd w:fill="FFFFFF" w:val="clear"/>
            <w:tcMar>
              <w:top w:type="dxa" w:w="60"/>
              <w:left w:type="dxa" w:w="80"/>
              <w:bottom w:type="dxa" w:w="60"/>
              <w:right w:type="dxa" w:w="80"/>
            </w:tcMar>
          </w:tcPr>
          <w:p>
            <w:r>
              <w:rPr>
                <w:rFonts w:ascii="Calibri" w:cs="Calibri" w:eastAsia="Calibri" w:hAnsi="Calibri"/>
                <w:sz w:val="15"/>
                <w:szCs w:val="15"/>
              </w:rPr>
              <w:t xml:space="preserve">1,386 quipus, 143 colecciones, 22+ países, 58 fuentes numeradas</w:t>
            </w:r>
          </w:p>
        </w:tc>
        <w:tc>
          <w:tcPr>
            <w:tcW w:type="dxa" w:w="2000"/>
            <w:shd w:fill="FFFFFF" w:val="clear"/>
            <w:tcMar>
              <w:top w:type="dxa" w:w="60"/>
              <w:left w:type="dxa" w:w="80"/>
              <w:bottom w:type="dxa" w:w="60"/>
              <w:right w:type="dxa" w:w="80"/>
            </w:tcMar>
          </w:tcPr>
          <w:p>
            <w:r>
              <w:rPr>
                <w:rFonts w:ascii="Calibri" w:cs="Calibri" w:eastAsia="Calibri" w:hAnsi="Calibri"/>
                <w:sz w:val="15"/>
                <w:szCs w:val="15"/>
              </w:rPr>
              <w:t xml:space="preserve">Compilación documental de inventarios institucionales</w:t>
            </w:r>
          </w:p>
        </w:tc>
        <w:tc>
          <w:tcPr>
            <w:tcW w:type="dxa" w:w="2300"/>
            <w:shd w:fill="FFFFFF" w:val="clear"/>
            <w:tcMar>
              <w:top w:type="dxa" w:w="60"/>
              <w:left w:type="dxa" w:w="80"/>
              <w:bottom w:type="dxa" w:w="60"/>
              <w:right w:type="dxa" w:w="80"/>
            </w:tcMar>
          </w:tcPr>
          <w:p>
            <w:r>
              <w:rPr>
                <w:rFonts w:ascii="Calibri" w:cs="Calibri" w:eastAsia="Calibri" w:hAnsi="Calibri"/>
                <w:sz w:val="15"/>
                <w:szCs w:val="15"/>
              </w:rPr>
              <w:t xml:space="preserve">Único inventario cuantitativo global y trazable del corpus físico de khipus</w:t>
            </w:r>
          </w:p>
        </w:tc>
        <w:tc>
          <w:tcPr>
            <w:tcW w:type="dxa" w:w="2000"/>
            <w:shd w:fill="FFFFFF" w:val="clear"/>
            <w:tcMar>
              <w:top w:type="dxa" w:w="60"/>
              <w:left w:type="dxa" w:w="80"/>
              <w:bottom w:type="dxa" w:w="60"/>
              <w:right w:type="dxa" w:w="80"/>
            </w:tcMar>
          </w:tcPr>
          <w:p>
            <w:r>
              <w:rPr>
                <w:rFonts w:ascii="Calibri" w:cs="Calibri" w:eastAsia="Calibri" w:hAnsi="Calibri"/>
                <w:sz w:val="15"/>
                <w:szCs w:val="15"/>
              </w:rPr>
              <w:t xml:space="preserve">Depende de fuentes heterogéneas (1907-2020); reconocido como incompleto por su autor</w:t>
            </w:r>
          </w:p>
        </w:tc>
        <w:tc>
          <w:tcPr>
            <w:tcW w:type="dxa" w:w="2000"/>
            <w:shd w:fill="FFFFFF" w:val="clear"/>
            <w:tcMar>
              <w:top w:type="dxa" w:w="60"/>
              <w:left w:type="dxa" w:w="80"/>
              <w:bottom w:type="dxa" w:w="60"/>
              <w:right w:type="dxa" w:w="80"/>
            </w:tcMar>
          </w:tcPr>
          <w:p>
            <w:r>
              <w:rPr>
                <w:rFonts w:ascii="Calibri" w:cs="Calibri" w:eastAsia="Calibri" w:hAnsi="Calibri"/>
                <w:sz w:val="15"/>
                <w:szCs w:val="15"/>
              </w:rPr>
              <w:t xml:space="preserve">Anexo de “Medrano 2021 - Quipus.pdf”; su cifra de 1,386 es citada en Clindaniel (2024) y Brezine et al. (2024)</w:t>
            </w:r>
          </w:p>
        </w:tc>
      </w:tr>
      <w:tr>
        <w:trPr>
          <w:cantSplit/>
        </w:trPr>
        <w:tc>
          <w:tcPr>
            <w:tcW w:type="dxa" w:w="1500"/>
            <w:shd w:fill="F2F2F2" w:val="clear"/>
            <w:tcMar>
              <w:top w:type="dxa" w:w="60"/>
              <w:left w:type="dxa" w:w="80"/>
              <w:bottom w:type="dxa" w:w="60"/>
              <w:right w:type="dxa" w:w="80"/>
            </w:tcMar>
          </w:tcPr>
          <w:p>
            <w:r>
              <w:rPr>
                <w:rFonts w:ascii="Calibri" w:cs="Calibri" w:eastAsia="Calibri" w:hAnsi="Calibri"/>
                <w:sz w:val="15"/>
                <w:szCs w:val="15"/>
              </w:rPr>
              <w:t xml:space="preserve">Basel Khipu Report_Excerpted.pdf</w:t>
            </w:r>
          </w:p>
        </w:tc>
        <w:tc>
          <w:tcPr>
            <w:tcW w:type="dxa" w:w="700"/>
            <w:shd w:fill="F2F2F2" w:val="clear"/>
            <w:tcMar>
              <w:top w:type="dxa" w:w="60"/>
              <w:left w:type="dxa" w:w="80"/>
              <w:bottom w:type="dxa" w:w="60"/>
              <w:right w:type="dxa" w:w="80"/>
            </w:tcMar>
          </w:tcPr>
          <w:p>
            <w:r>
              <w:rPr>
                <w:rFonts w:ascii="Calibri" w:cs="Calibri" w:eastAsia="Calibri" w:hAnsi="Calibri"/>
                <w:sz w:val="15"/>
                <w:szCs w:val="15"/>
              </w:rPr>
              <w:t xml:space="preserve">No especificado en la fuente</w:t>
            </w:r>
          </w:p>
        </w:tc>
        <w:tc>
          <w:tcPr>
            <w:tcW w:type="dxa" w:w="1900"/>
            <w:shd w:fill="F2F2F2" w:val="clear"/>
            <w:tcMar>
              <w:top w:type="dxa" w:w="60"/>
              <w:left w:type="dxa" w:w="80"/>
              <w:bottom w:type="dxa" w:w="60"/>
              <w:right w:type="dxa" w:w="80"/>
            </w:tcMar>
          </w:tcPr>
          <w:p>
            <w:r>
              <w:rPr>
                <w:rFonts w:ascii="Calibri" w:cs="Calibri" w:eastAsia="Calibri" w:hAnsi="Calibri"/>
                <w:sz w:val="15"/>
                <w:szCs w:val="15"/>
              </w:rPr>
              <w:t xml:space="preserve">Convenciones de codificación tabular de datos de khipu (KDB)</w:t>
            </w:r>
          </w:p>
        </w:tc>
        <w:tc>
          <w:tcPr>
            <w:tcW w:type="dxa" w:w="2000"/>
            <w:shd w:fill="F2F2F2" w:val="clear"/>
            <w:tcMar>
              <w:top w:type="dxa" w:w="60"/>
              <w:left w:type="dxa" w:w="80"/>
              <w:bottom w:type="dxa" w:w="60"/>
              <w:right w:type="dxa" w:w="80"/>
            </w:tcMar>
          </w:tcPr>
          <w:p>
            <w:r>
              <w:rPr>
                <w:rFonts w:ascii="Calibri" w:cs="Calibri" w:eastAsia="Calibri" w:hAnsi="Calibri"/>
                <w:sz w:val="15"/>
                <w:szCs w:val="15"/>
              </w:rPr>
              <w:t xml:space="preserve">Cordones 28-37 de MM002 (Landesmuseum Detmold); 13 khipus estudiados en Basilea/Detmold</w:t>
            </w:r>
          </w:p>
        </w:tc>
        <w:tc>
          <w:tcPr>
            <w:tcW w:type="dxa" w:w="2000"/>
            <w:shd w:fill="F2F2F2" w:val="clear"/>
            <w:tcMar>
              <w:top w:type="dxa" w:w="60"/>
              <w:left w:type="dxa" w:w="80"/>
              <w:bottom w:type="dxa" w:w="60"/>
              <w:right w:type="dxa" w:w="80"/>
            </w:tcMar>
          </w:tcPr>
          <w:p>
            <w:r>
              <w:rPr>
                <w:rFonts w:ascii="Calibri" w:cs="Calibri" w:eastAsia="Calibri" w:hAnsi="Calibri"/>
                <w:sz w:val="15"/>
                <w:szCs w:val="15"/>
              </w:rPr>
              <w:t xml:space="preserve">Documentación de esquema de transcripción manual (12 columnas)</w:t>
            </w:r>
          </w:p>
        </w:tc>
        <w:tc>
          <w:tcPr>
            <w:tcW w:type="dxa" w:w="2300"/>
            <w:shd w:fill="F2F2F2" w:val="clear"/>
            <w:tcMar>
              <w:top w:type="dxa" w:w="60"/>
              <w:left w:type="dxa" w:w="80"/>
              <w:bottom w:type="dxa" w:w="60"/>
              <w:right w:type="dxa" w:w="80"/>
            </w:tcMar>
          </w:tcPr>
          <w:p>
            <w:r>
              <w:rPr>
                <w:rFonts w:ascii="Calibri" w:cs="Calibri" w:eastAsia="Calibri" w:hAnsi="Calibri"/>
                <w:sz w:val="15"/>
                <w:szCs w:val="15"/>
              </w:rPr>
              <w:t xml:space="preserve">Esquema de datos reutilizable que alimenta bases de datos computacionales de khipu</w:t>
            </w:r>
          </w:p>
        </w:tc>
        <w:tc>
          <w:tcPr>
            <w:tcW w:type="dxa" w:w="2000"/>
            <w:shd w:fill="F2F2F2" w:val="clear"/>
            <w:tcMar>
              <w:top w:type="dxa" w:w="60"/>
              <w:left w:type="dxa" w:w="80"/>
              <w:bottom w:type="dxa" w:w="60"/>
              <w:right w:type="dxa" w:w="80"/>
            </w:tcMar>
          </w:tcPr>
          <w:p>
            <w:r>
              <w:rPr>
                <w:rFonts w:ascii="Calibri" w:cs="Calibri" w:eastAsia="Calibri" w:hAnsi="Calibri"/>
                <w:sz w:val="15"/>
                <w:szCs w:val="15"/>
              </w:rPr>
              <w:t xml:space="preserve">Extracto parcial (5 pp.); sin resultados agregados ni conclusiones</w:t>
            </w:r>
          </w:p>
        </w:tc>
        <w:tc>
          <w:tcPr>
            <w:tcW w:type="dxa" w:w="2000"/>
            <w:shd w:fill="F2F2F2" w:val="clear"/>
            <w:tcMar>
              <w:top w:type="dxa" w:w="60"/>
              <w:left w:type="dxa" w:w="80"/>
              <w:bottom w:type="dxa" w:w="60"/>
              <w:right w:type="dxa" w:w="80"/>
            </w:tcMar>
          </w:tcPr>
          <w:p>
            <w:r>
              <w:rPr>
                <w:rFonts w:ascii="Calibri" w:cs="Calibri" w:eastAsia="Calibri" w:hAnsi="Calibri"/>
                <w:sz w:val="15"/>
                <w:szCs w:val="15"/>
              </w:rPr>
              <w:t xml:space="preserve">Autor común (Medrano) con Medrano y Khosla (2024); esquema de color atribuido a Brezine, también usado en Clindaniel (2024)</w:t>
            </w:r>
          </w:p>
        </w:tc>
      </w:tr>
      <w:tr>
        <w:trPr>
          <w:cantSplit/>
        </w:trPr>
        <w:tc>
          <w:tcPr>
            <w:tcW w:type="dxa" w:w="1500"/>
            <w:shd w:fill="FFFFFF" w:val="clear"/>
            <w:tcMar>
              <w:top w:type="dxa" w:w="60"/>
              <w:left w:type="dxa" w:w="80"/>
              <w:bottom w:type="dxa" w:w="60"/>
              <w:right w:type="dxa" w:w="80"/>
            </w:tcMar>
          </w:tcPr>
          <w:p>
            <w:r>
              <w:rPr>
                <w:rFonts w:ascii="Calibri" w:cs="Calibri" w:eastAsia="Calibri" w:hAnsi="Calibri"/>
                <w:sz w:val="15"/>
                <w:szCs w:val="15"/>
              </w:rPr>
              <w:t xml:space="preserve">Brezine_et_al_2024_KhipuNaming.pdf</w:t>
            </w:r>
          </w:p>
        </w:tc>
        <w:tc>
          <w:tcPr>
            <w:tcW w:type="dxa" w:w="700"/>
            <w:shd w:fill="FFFFFF" w:val="clear"/>
            <w:tcMar>
              <w:top w:type="dxa" w:w="60"/>
              <w:left w:type="dxa" w:w="80"/>
              <w:bottom w:type="dxa" w:w="60"/>
              <w:right w:type="dxa" w:w="80"/>
            </w:tcMar>
          </w:tcPr>
          <w:p>
            <w:r>
              <w:rPr>
                <w:rFonts w:ascii="Calibri" w:cs="Calibri" w:eastAsia="Calibri" w:hAnsi="Calibri"/>
                <w:sz w:val="15"/>
                <w:szCs w:val="15"/>
              </w:rPr>
              <w:t xml:space="preserve">2024</w:t>
            </w:r>
          </w:p>
        </w:tc>
        <w:tc>
          <w:tcPr>
            <w:tcW w:type="dxa" w:w="1900"/>
            <w:shd w:fill="FFFFFF" w:val="clear"/>
            <w:tcMar>
              <w:top w:type="dxa" w:w="60"/>
              <w:left w:type="dxa" w:w="80"/>
              <w:bottom w:type="dxa" w:w="60"/>
              <w:right w:type="dxa" w:w="80"/>
            </w:tcMar>
          </w:tcPr>
          <w:p>
            <w:r>
              <w:rPr>
                <w:rFonts w:ascii="Calibri" w:cs="Calibri" w:eastAsia="Calibri" w:hAnsi="Calibri"/>
                <w:sz w:val="15"/>
                <w:szCs w:val="15"/>
              </w:rPr>
              <w:t xml:space="preserve">Nomenclatura ética de khipus (KH####) y gobernanza del OKR</w:t>
            </w:r>
          </w:p>
        </w:tc>
        <w:tc>
          <w:tcPr>
            <w:tcW w:type="dxa" w:w="2000"/>
            <w:shd w:fill="FFFFFF" w:val="clear"/>
            <w:tcMar>
              <w:top w:type="dxa" w:w="60"/>
              <w:left w:type="dxa" w:w="80"/>
              <w:bottom w:type="dxa" w:w="60"/>
              <w:right w:type="dxa" w:w="80"/>
            </w:tcMar>
          </w:tcPr>
          <w:p>
            <w:r>
              <w:rPr>
                <w:rFonts w:ascii="Calibri" w:cs="Calibri" w:eastAsia="Calibri" w:hAnsi="Calibri"/>
                <w:sz w:val="15"/>
                <w:szCs w:val="15"/>
              </w:rPr>
              <w:t xml:space="preserve">630 khipus del OKR; tabla completa de correspondencia de nombres</w:t>
            </w:r>
          </w:p>
        </w:tc>
        <w:tc>
          <w:tcPr>
            <w:tcW w:type="dxa" w:w="2000"/>
            <w:shd w:fill="FFFFFF" w:val="clear"/>
            <w:tcMar>
              <w:top w:type="dxa" w:w="60"/>
              <w:left w:type="dxa" w:w="80"/>
              <w:bottom w:type="dxa" w:w="60"/>
              <w:right w:type="dxa" w:w="80"/>
            </w:tcMar>
          </w:tcPr>
          <w:p>
            <w:r>
              <w:rPr>
                <w:rFonts w:ascii="Calibri" w:cs="Calibri" w:eastAsia="Calibri" w:hAnsi="Calibri"/>
                <w:sz w:val="15"/>
                <w:szCs w:val="15"/>
              </w:rPr>
              <w:t xml:space="preserve">Análisis documental/histórico + propuesta normativa</w:t>
            </w:r>
          </w:p>
        </w:tc>
        <w:tc>
          <w:tcPr>
            <w:tcW w:type="dxa" w:w="2300"/>
            <w:shd w:fill="FFFFFF" w:val="clear"/>
            <w:tcMar>
              <w:top w:type="dxa" w:w="60"/>
              <w:left w:type="dxa" w:w="80"/>
              <w:bottom w:type="dxa" w:w="60"/>
              <w:right w:type="dxa" w:w="80"/>
            </w:tcMar>
          </w:tcPr>
          <w:p>
            <w:r>
              <w:rPr>
                <w:rFonts w:ascii="Calibri" w:cs="Calibri" w:eastAsia="Calibri" w:hAnsi="Calibri"/>
                <w:sz w:val="15"/>
                <w:szCs w:val="15"/>
              </w:rPr>
              <w:t xml:space="preserve">Documenta la estructura técnica del OKR (SQLite, tabla KHIPU_MAIN) y establece la convención KH#### de 2024</w:t>
            </w:r>
          </w:p>
        </w:tc>
        <w:tc>
          <w:tcPr>
            <w:tcW w:type="dxa" w:w="2000"/>
            <w:shd w:fill="FFFFFF" w:val="clear"/>
            <w:tcMar>
              <w:top w:type="dxa" w:w="60"/>
              <w:left w:type="dxa" w:w="80"/>
              <w:bottom w:type="dxa" w:w="60"/>
              <w:right w:type="dxa" w:w="80"/>
            </w:tcMar>
          </w:tcPr>
          <w:p>
            <w:r>
              <w:rPr>
                <w:rFonts w:ascii="Calibri" w:cs="Calibri" w:eastAsia="Calibri" w:hAnsi="Calibri"/>
                <w:sz w:val="15"/>
                <w:szCs w:val="15"/>
              </w:rPr>
              <w:t xml:space="preserve">Cubre solo los 630 khipus “de estilo inca” del OKR, no los 1,386 conocidos</w:t>
            </w:r>
          </w:p>
        </w:tc>
        <w:tc>
          <w:tcPr>
            <w:tcW w:type="dxa" w:w="2000"/>
            <w:shd w:fill="FFFFFF" w:val="clear"/>
            <w:tcMar>
              <w:top w:type="dxa" w:w="60"/>
              <w:left w:type="dxa" w:w="80"/>
              <w:bottom w:type="dxa" w:w="60"/>
              <w:right w:type="dxa" w:w="80"/>
            </w:tcMar>
          </w:tcPr>
          <w:p>
            <w:r>
              <w:rPr>
                <w:rFonts w:ascii="Calibri" w:cs="Calibri" w:eastAsia="Calibri" w:hAnsi="Calibri"/>
                <w:sz w:val="15"/>
                <w:szCs w:val="15"/>
              </w:rPr>
              <w:t xml:space="preserve">Coautoría compartida con Clindaniel, Hyland y Medrano; convención adoptada en Medrano y Khosla (2024) y Clindaniel (2024)</w:t>
            </w:r>
          </w:p>
        </w:tc>
      </w:tr>
      <w:tr>
        <w:trPr>
          <w:cantSplit/>
        </w:trPr>
        <w:tc>
          <w:tcPr>
            <w:tcW w:type="dxa" w:w="1500"/>
            <w:shd w:fill="F2F2F2" w:val="clear"/>
            <w:tcMar>
              <w:top w:type="dxa" w:w="60"/>
              <w:left w:type="dxa" w:w="80"/>
              <w:bottom w:type="dxa" w:w="60"/>
              <w:right w:type="dxa" w:w="80"/>
            </w:tcMar>
          </w:tcPr>
          <w:p>
            <w:r>
              <w:rPr>
                <w:rFonts w:ascii="Calibri" w:cs="Calibri" w:eastAsia="Calibri" w:hAnsi="Calibri"/>
                <w:sz w:val="15"/>
                <w:szCs w:val="15"/>
              </w:rPr>
              <w:t xml:space="preserve">CLINDANIEL-DISSERTATION-2019.pdf</w:t>
            </w:r>
          </w:p>
        </w:tc>
        <w:tc>
          <w:tcPr>
            <w:tcW w:type="dxa" w:w="700"/>
            <w:shd w:fill="F2F2F2" w:val="clear"/>
            <w:tcMar>
              <w:top w:type="dxa" w:w="60"/>
              <w:left w:type="dxa" w:w="80"/>
              <w:bottom w:type="dxa" w:w="60"/>
              <w:right w:type="dxa" w:w="80"/>
            </w:tcMar>
          </w:tcPr>
          <w:p>
            <w:r>
              <w:rPr>
                <w:rFonts w:ascii="Calibri" w:cs="Calibri" w:eastAsia="Calibri" w:hAnsi="Calibri"/>
                <w:sz w:val="15"/>
                <w:szCs w:val="15"/>
              </w:rPr>
              <w:t xml:space="preserve">2018/2019</w:t>
            </w:r>
          </w:p>
        </w:tc>
        <w:tc>
          <w:tcPr>
            <w:tcW w:type="dxa" w:w="1900"/>
            <w:shd w:fill="F2F2F2" w:val="clear"/>
            <w:tcMar>
              <w:top w:type="dxa" w:w="60"/>
              <w:left w:type="dxa" w:w="80"/>
              <w:bottom w:type="dxa" w:w="60"/>
              <w:right w:type="dxa" w:w="80"/>
            </w:tcMar>
          </w:tcPr>
          <w:p>
            <w:r>
              <w:rPr>
                <w:rFonts w:ascii="Calibri" w:cs="Calibri" w:eastAsia="Calibri" w:hAnsi="Calibri"/>
                <w:sz w:val="15"/>
                <w:szCs w:val="15"/>
              </w:rPr>
              <w:t xml:space="preserve">Gramática semiótica de signos no numéricos del khipu inca</w:t>
            </w:r>
          </w:p>
        </w:tc>
        <w:tc>
          <w:tcPr>
            <w:tcW w:type="dxa" w:w="2000"/>
            <w:shd w:fill="F2F2F2" w:val="clear"/>
            <w:tcMar>
              <w:top w:type="dxa" w:w="60"/>
              <w:left w:type="dxa" w:w="80"/>
              <w:bottom w:type="dxa" w:w="60"/>
              <w:right w:type="dxa" w:w="80"/>
            </w:tcMar>
          </w:tcPr>
          <w:p>
            <w:r>
              <w:rPr>
                <w:rFonts w:ascii="Calibri" w:cs="Calibri" w:eastAsia="Calibri" w:hAnsi="Calibri"/>
                <w:sz w:val="15"/>
                <w:szCs w:val="15"/>
              </w:rPr>
              <w:t xml:space="preserve">KDB (973 khipus catalogados, 626 detallados); 52 khipus y 6 varas envueltas de Inkawasi (5,708 cuerdas)</w:t>
            </w:r>
          </w:p>
        </w:tc>
        <w:tc>
          <w:tcPr>
            <w:tcW w:type="dxa" w:w="2000"/>
            <w:shd w:fill="F2F2F2" w:val="clear"/>
            <w:tcMar>
              <w:top w:type="dxa" w:w="60"/>
              <w:left w:type="dxa" w:w="80"/>
              <w:bottom w:type="dxa" w:w="60"/>
              <w:right w:type="dxa" w:w="80"/>
            </w:tcMar>
          </w:tcPr>
          <w:p>
            <w:r>
              <w:rPr>
                <w:rFonts w:ascii="Calibri" w:cs="Calibri" w:eastAsia="Calibri" w:hAnsi="Calibri"/>
                <w:sz w:val="15"/>
                <w:szCs w:val="15"/>
              </w:rPr>
              <w:t xml:space="preserve">Marco semiótico peirceano + estadística inferencial (pruebas binomiales, ANOVA, regresión logística)</w:t>
            </w:r>
          </w:p>
        </w:tc>
        <w:tc>
          <w:tcPr>
            <w:tcW w:type="dxa" w:w="2300"/>
            <w:shd w:fill="F2F2F2" w:val="clear"/>
            <w:tcMar>
              <w:top w:type="dxa" w:w="60"/>
              <w:left w:type="dxa" w:w="80"/>
              <w:bottom w:type="dxa" w:w="60"/>
              <w:right w:type="dxa" w:w="80"/>
            </w:tcMar>
          </w:tcPr>
          <w:p>
            <w:r>
              <w:rPr>
                <w:rFonts w:ascii="Calibri" w:cs="Calibri" w:eastAsia="Calibri" w:hAnsi="Calibri"/>
                <w:sz w:val="15"/>
                <w:szCs w:val="15"/>
              </w:rPr>
              <w:t xml:space="preserve">Demuestra estadísticamente markedness de color, dirección de nudo y banding/seriación; proof of concept color=operación aritmética</w:t>
            </w:r>
          </w:p>
        </w:tc>
        <w:tc>
          <w:tcPr>
            <w:tcW w:type="dxa" w:w="2000"/>
            <w:shd w:fill="F2F2F2" w:val="clear"/>
            <w:tcMar>
              <w:top w:type="dxa" w:w="60"/>
              <w:left w:type="dxa" w:w="80"/>
              <w:bottom w:type="dxa" w:w="60"/>
              <w:right w:type="dxa" w:w="80"/>
            </w:tcMar>
          </w:tcPr>
          <w:p>
            <w:r>
              <w:rPr>
                <w:rFonts w:ascii="Calibri" w:cs="Calibri" w:eastAsia="Calibri" w:hAnsi="Calibri"/>
                <w:sz w:val="15"/>
                <w:szCs w:val="15"/>
              </w:rPr>
              <w:t xml:space="preserve">Proof of concept basado en solo 2 khipus; fuerte sesgo geográfico costero del corpus</w:t>
            </w:r>
          </w:p>
        </w:tc>
        <w:tc>
          <w:tcPr>
            <w:tcW w:type="dxa" w:w="2000"/>
            <w:shd w:fill="F2F2F2" w:val="clear"/>
            <w:tcMar>
              <w:top w:type="dxa" w:w="60"/>
              <w:left w:type="dxa" w:w="80"/>
              <w:bottom w:type="dxa" w:w="60"/>
              <w:right w:type="dxa" w:w="80"/>
            </w:tcMar>
          </w:tcPr>
          <w:p>
            <w:r>
              <w:rPr>
                <w:rFonts w:ascii="Calibri" w:cs="Calibri" w:eastAsia="Calibri" w:hAnsi="Calibri"/>
                <w:sz w:val="15"/>
                <w:szCs w:val="15"/>
              </w:rPr>
              <w:t xml:space="preserve">Fundamento teórico y metodológico directo de Clindaniel (2024); una interpretación suya es revisada por Medrano y Khosla (2024)</w:t>
            </w:r>
          </w:p>
        </w:tc>
      </w:tr>
      <w:tr>
        <w:trPr>
          <w:cantSplit/>
        </w:trPr>
        <w:tc>
          <w:tcPr>
            <w:tcW w:type="dxa" w:w="1500"/>
            <w:shd w:fill="FFFFFF" w:val="clear"/>
            <w:tcMar>
              <w:top w:type="dxa" w:w="60"/>
              <w:left w:type="dxa" w:w="80"/>
              <w:bottom w:type="dxa" w:w="60"/>
              <w:right w:type="dxa" w:w="80"/>
            </w:tcMar>
          </w:tcPr>
          <w:p>
            <w:r>
              <w:rPr>
                <w:rFonts w:ascii="Calibri" w:cs="Calibri" w:eastAsia="Calibri" w:hAnsi="Calibri"/>
                <w:sz w:val="15"/>
                <w:szCs w:val="15"/>
              </w:rPr>
              <w:t xml:space="preserve">Medrano 2021 - Quipus.pdf</w:t>
            </w:r>
          </w:p>
        </w:tc>
        <w:tc>
          <w:tcPr>
            <w:tcW w:type="dxa" w:w="700"/>
            <w:shd w:fill="FFFFFF" w:val="clear"/>
            <w:tcMar>
              <w:top w:type="dxa" w:w="60"/>
              <w:left w:type="dxa" w:w="80"/>
              <w:bottom w:type="dxa" w:w="60"/>
              <w:right w:type="dxa" w:w="80"/>
            </w:tcMar>
          </w:tcPr>
          <w:p>
            <w:r>
              <w:rPr>
                <w:rFonts w:ascii="Calibri" w:cs="Calibri" w:eastAsia="Calibri" w:hAnsi="Calibri"/>
                <w:sz w:val="15"/>
                <w:szCs w:val="15"/>
              </w:rPr>
              <w:t xml:space="preserve">2021</w:t>
            </w:r>
          </w:p>
        </w:tc>
        <w:tc>
          <w:tcPr>
            <w:tcW w:type="dxa" w:w="1900"/>
            <w:shd w:fill="FFFFFF" w:val="clear"/>
            <w:tcMar>
              <w:top w:type="dxa" w:w="60"/>
              <w:left w:type="dxa" w:w="80"/>
              <w:bottom w:type="dxa" w:w="60"/>
              <w:right w:type="dxa" w:w="80"/>
            </w:tcMar>
          </w:tcPr>
          <w:p>
            <w:r>
              <w:rPr>
                <w:rFonts w:ascii="Calibri" w:cs="Calibri" w:eastAsia="Calibri" w:hAnsi="Calibri"/>
                <w:sz w:val="15"/>
                <w:szCs w:val="15"/>
              </w:rPr>
              <w:t xml:space="preserve">Síntesis histórica divulgativa de mil años de quipus + propuesta de futuro digital/IA</w:t>
            </w:r>
          </w:p>
        </w:tc>
        <w:tc>
          <w:tcPr>
            <w:tcW w:type="dxa" w:w="2000"/>
            <w:shd w:fill="FFFFFF" w:val="clear"/>
            <w:tcMar>
              <w:top w:type="dxa" w:w="60"/>
              <w:left w:type="dxa" w:w="80"/>
              <w:bottom w:type="dxa" w:w="60"/>
              <w:right w:type="dxa" w:w="80"/>
            </w:tcMar>
          </w:tcPr>
          <w:p>
            <w:r>
              <w:rPr>
                <w:rFonts w:ascii="Calibri" w:cs="Calibri" w:eastAsia="Calibri" w:hAnsi="Calibri"/>
                <w:sz w:val="15"/>
                <w:szCs w:val="15"/>
              </w:rPr>
              <w:t xml:space="preserve">Inventario propio (1,386 quipus); síntesis de literatura previa (Locke, Ascher, Urton, Hyland, Clindaniel)</w:t>
            </w:r>
          </w:p>
        </w:tc>
        <w:tc>
          <w:tcPr>
            <w:tcW w:type="dxa" w:w="2000"/>
            <w:shd w:fill="FFFFFF" w:val="clear"/>
            <w:tcMar>
              <w:top w:type="dxa" w:w="60"/>
              <w:left w:type="dxa" w:w="80"/>
              <w:bottom w:type="dxa" w:w="60"/>
              <w:right w:type="dxa" w:w="80"/>
            </w:tcMar>
          </w:tcPr>
          <w:p>
            <w:r>
              <w:rPr>
                <w:rFonts w:ascii="Calibri" w:cs="Calibri" w:eastAsia="Calibri" w:hAnsi="Calibri"/>
                <w:sz w:val="15"/>
                <w:szCs w:val="15"/>
              </w:rPr>
              <w:t xml:space="preserve">Narrativa histórica divulgativa + compilación documental</w:t>
            </w:r>
          </w:p>
        </w:tc>
        <w:tc>
          <w:tcPr>
            <w:tcW w:type="dxa" w:w="2300"/>
            <w:shd w:fill="FFFFFF" w:val="clear"/>
            <w:tcMar>
              <w:top w:type="dxa" w:w="60"/>
              <w:left w:type="dxa" w:w="80"/>
              <w:bottom w:type="dxa" w:w="60"/>
              <w:right w:type="dxa" w:w="80"/>
            </w:tcMar>
          </w:tcPr>
          <w:p>
            <w:r>
              <w:rPr>
                <w:rFonts w:ascii="Calibri" w:cs="Calibri" w:eastAsia="Calibri" w:hAnsi="Calibri"/>
                <w:sz w:val="15"/>
                <w:szCs w:val="15"/>
              </w:rPr>
              <w:t xml:space="preserve">Marco “milenio quipu”; primera propuesta explícita (no ejecutada) de aprendizaje automático aplicado a khipus repartidos</w:t>
            </w:r>
          </w:p>
        </w:tc>
        <w:tc>
          <w:tcPr>
            <w:tcW w:type="dxa" w:w="2000"/>
            <w:shd w:fill="FFFFFF" w:val="clear"/>
            <w:tcMar>
              <w:top w:type="dxa" w:w="60"/>
              <w:left w:type="dxa" w:w="80"/>
              <w:bottom w:type="dxa" w:w="60"/>
              <w:right w:type="dxa" w:w="80"/>
            </w:tcMar>
          </w:tcPr>
          <w:p>
            <w:r>
              <w:rPr>
                <w:rFonts w:ascii="Calibri" w:cs="Calibri" w:eastAsia="Calibri" w:hAnsi="Calibri"/>
                <w:sz w:val="15"/>
                <w:szCs w:val="15"/>
              </w:rPr>
              <w:t xml:space="preserve">Libro de divulgación, sin aparato metodológico formal propio</w:t>
            </w:r>
          </w:p>
        </w:tc>
        <w:tc>
          <w:tcPr>
            <w:tcW w:type="dxa" w:w="2000"/>
            <w:shd w:fill="FFFFFF" w:val="clear"/>
            <w:tcMar>
              <w:top w:type="dxa" w:w="60"/>
              <w:left w:type="dxa" w:w="80"/>
              <w:bottom w:type="dxa" w:w="60"/>
              <w:right w:type="dxa" w:w="80"/>
            </w:tcMar>
          </w:tcPr>
          <w:p>
            <w:r>
              <w:rPr>
                <w:rFonts w:ascii="Calibri" w:cs="Calibri" w:eastAsia="Calibri" w:hAnsi="Calibri"/>
                <w:sz w:val="15"/>
                <w:szCs w:val="15"/>
              </w:rPr>
              <w:t xml:space="preserve">Cita y contextualiza a casi todos los demás autores del corpus; antecede conceptualmente a Clindaniel (2024)</w:t>
            </w:r>
          </w:p>
        </w:tc>
      </w:tr>
      <w:tr>
        <w:trPr>
          <w:cantSplit/>
        </w:trPr>
        <w:tc>
          <w:tcPr>
            <w:tcW w:type="dxa" w:w="1500"/>
            <w:shd w:fill="F2F2F2" w:val="clear"/>
            <w:tcMar>
              <w:top w:type="dxa" w:w="60"/>
              <w:left w:type="dxa" w:w="80"/>
              <w:bottom w:type="dxa" w:w="60"/>
              <w:right w:type="dxa" w:w="80"/>
            </w:tcMar>
          </w:tcPr>
          <w:p>
            <w:r>
              <w:rPr>
                <w:rFonts w:ascii="Calibri" w:cs="Calibri" w:eastAsia="Calibri" w:hAnsi="Calibri"/>
                <w:sz w:val="15"/>
                <w:szCs w:val="15"/>
              </w:rPr>
              <w:t xml:space="preserve">Medrano_Khosla_2024_KhipusDataScience.pdf</w:t>
            </w:r>
          </w:p>
        </w:tc>
        <w:tc>
          <w:tcPr>
            <w:tcW w:type="dxa" w:w="700"/>
            <w:shd w:fill="F2F2F2" w:val="clear"/>
            <w:tcMar>
              <w:top w:type="dxa" w:w="60"/>
              <w:left w:type="dxa" w:w="80"/>
              <w:bottom w:type="dxa" w:w="60"/>
              <w:right w:type="dxa" w:w="80"/>
            </w:tcMar>
          </w:tcPr>
          <w:p>
            <w:r>
              <w:rPr>
                <w:rFonts w:ascii="Calibri" w:cs="Calibri" w:eastAsia="Calibri" w:hAnsi="Calibri"/>
                <w:sz w:val="15"/>
                <w:szCs w:val="15"/>
              </w:rPr>
              <w:t xml:space="preserve">2024</w:t>
            </w:r>
          </w:p>
        </w:tc>
        <w:tc>
          <w:tcPr>
            <w:tcW w:type="dxa" w:w="1900"/>
            <w:shd w:fill="F2F2F2" w:val="clear"/>
            <w:tcMar>
              <w:top w:type="dxa" w:w="60"/>
              <w:left w:type="dxa" w:w="80"/>
              <w:bottom w:type="dxa" w:w="60"/>
              <w:right w:type="dxa" w:w="80"/>
            </w:tcMar>
          </w:tcPr>
          <w:p>
            <w:r>
              <w:rPr>
                <w:rFonts w:ascii="Calibri" w:cs="Calibri" w:eastAsia="Calibri" w:hAnsi="Calibri"/>
                <w:sz w:val="15"/>
                <w:szCs w:val="15"/>
              </w:rPr>
              <w:t xml:space="preserve">Generalización computacional de relaciones aritméticas (“relaciones de Ascher”)</w:t>
            </w:r>
          </w:p>
        </w:tc>
        <w:tc>
          <w:tcPr>
            <w:tcW w:type="dxa" w:w="2000"/>
            <w:shd w:fill="F2F2F2" w:val="clear"/>
            <w:tcMar>
              <w:top w:type="dxa" w:w="60"/>
              <w:left w:type="dxa" w:w="80"/>
              <w:bottom w:type="dxa" w:w="60"/>
              <w:right w:type="dxa" w:w="80"/>
            </w:tcMar>
          </w:tcPr>
          <w:p>
            <w:r>
              <w:rPr>
                <w:rFonts w:ascii="Calibri" w:cs="Calibri" w:eastAsia="Calibri" w:hAnsi="Calibri"/>
                <w:sz w:val="15"/>
                <w:szCs w:val="15"/>
              </w:rPr>
              <w:t xml:space="preserve">650 khipus digitalizados (~116,246 nudos, 55,720 cuerdas)</w:t>
            </w:r>
          </w:p>
        </w:tc>
        <w:tc>
          <w:tcPr>
            <w:tcW w:type="dxa" w:w="2000"/>
            <w:shd w:fill="F2F2F2" w:val="clear"/>
            <w:tcMar>
              <w:top w:type="dxa" w:w="60"/>
              <w:left w:type="dxa" w:w="80"/>
              <w:bottom w:type="dxa" w:w="60"/>
              <w:right w:type="dxa" w:w="80"/>
            </w:tcMar>
          </w:tcPr>
          <w:p>
            <w:r>
              <w:rPr>
                <w:rFonts w:ascii="Calibri" w:cs="Calibri" w:eastAsia="Calibri" w:hAnsi="Calibri"/>
                <w:sz w:val="15"/>
                <w:szCs w:val="15"/>
              </w:rPr>
              <w:t xml:space="preserve">Búsqueda combinatoria exhaustiva + simulación Monte Carlo + similitud coseno + análisis de red</w:t>
            </w:r>
          </w:p>
        </w:tc>
        <w:tc>
          <w:tcPr>
            <w:tcW w:type="dxa" w:w="2300"/>
            <w:shd w:fill="F2F2F2" w:val="clear"/>
            <w:tcMar>
              <w:top w:type="dxa" w:w="60"/>
              <w:left w:type="dxa" w:w="80"/>
              <w:bottom w:type="dxa" w:w="60"/>
              <w:right w:type="dxa" w:w="80"/>
            </w:tcMar>
          </w:tcPr>
          <w:p>
            <w:r>
              <w:rPr>
                <w:rFonts w:ascii="Calibri" w:cs="Calibri" w:eastAsia="Calibri" w:hAnsi="Calibri"/>
                <w:sz w:val="15"/>
                <w:szCs w:val="15"/>
              </w:rPr>
              <w:t xml:space="preserve">74% del corpus caracterizado por fórmulas de Ascher; revisión del rol de los top cords; reagrupamiento de KH0468; hipótesis blanco=marcador de suma</w:t>
            </w:r>
          </w:p>
        </w:tc>
        <w:tc>
          <w:tcPr>
            <w:tcW w:type="dxa" w:w="2000"/>
            <w:shd w:fill="F2F2F2" w:val="clear"/>
            <w:tcMar>
              <w:top w:type="dxa" w:w="60"/>
              <w:left w:type="dxa" w:w="80"/>
              <w:bottom w:type="dxa" w:w="60"/>
              <w:right w:type="dxa" w:w="80"/>
            </w:tcMar>
          </w:tcPr>
          <w:p>
            <w:r>
              <w:rPr>
                <w:rFonts w:ascii="Calibri" w:cs="Calibri" w:eastAsia="Calibri" w:hAnsi="Calibri"/>
                <w:sz w:val="15"/>
                <w:szCs w:val="15"/>
              </w:rPr>
              <w:t xml:space="preserve">Relaciones de baja especificidad (p.ej. Pendant Subsidiary Difference) probablemente incluyen coincidencias espurias</w:t>
            </w:r>
          </w:p>
        </w:tc>
        <w:tc>
          <w:tcPr>
            <w:tcW w:type="dxa" w:w="2000"/>
            <w:shd w:fill="F2F2F2" w:val="clear"/>
            <w:tcMar>
              <w:top w:type="dxa" w:w="60"/>
              <w:left w:type="dxa" w:w="80"/>
              <w:bottom w:type="dxa" w:w="60"/>
              <w:right w:type="dxa" w:w="80"/>
            </w:tcMar>
          </w:tcPr>
          <w:p>
            <w:r>
              <w:rPr>
                <w:rFonts w:ascii="Calibri" w:cs="Calibri" w:eastAsia="Calibri" w:hAnsi="Calibri"/>
                <w:sz w:val="15"/>
                <w:szCs w:val="15"/>
              </w:rPr>
              <w:t xml:space="preserve">Revisa explícitamente una interpretación de Clindaniel (2019); diálogo no resuelto con Clindaniel (2024) sobre el color blanco</w:t>
            </w:r>
          </w:p>
        </w:tc>
      </w:tr>
      <w:tr>
        <w:trPr>
          <w:cantSplit/>
        </w:trPr>
        <w:tc>
          <w:tcPr>
            <w:tcW w:type="dxa" w:w="1500"/>
            <w:shd w:fill="FFFFFF" w:val="clear"/>
            <w:tcMar>
              <w:top w:type="dxa" w:w="60"/>
              <w:left w:type="dxa" w:w="80"/>
              <w:bottom w:type="dxa" w:w="60"/>
              <w:right w:type="dxa" w:w="80"/>
            </w:tcMar>
          </w:tcPr>
          <w:p>
            <w:r>
              <w:rPr>
                <w:rFonts w:ascii="Calibri" w:cs="Calibri" w:eastAsia="Calibri" w:hAnsi="Calibri"/>
                <w:sz w:val="15"/>
                <w:szCs w:val="15"/>
              </w:rPr>
              <w:t xml:space="preserve">colorful-insights-20-May-2024.pdf</w:t>
            </w:r>
          </w:p>
        </w:tc>
        <w:tc>
          <w:tcPr>
            <w:tcW w:type="dxa" w:w="700"/>
            <w:shd w:fill="FFFFFF" w:val="clear"/>
            <w:tcMar>
              <w:top w:type="dxa" w:w="60"/>
              <w:left w:type="dxa" w:w="80"/>
              <w:bottom w:type="dxa" w:w="60"/>
              <w:right w:type="dxa" w:w="80"/>
            </w:tcMar>
          </w:tcPr>
          <w:p>
            <w:r>
              <w:rPr>
                <w:rFonts w:ascii="Calibri" w:cs="Calibri" w:eastAsia="Calibri" w:hAnsi="Calibri"/>
                <w:sz w:val="15"/>
                <w:szCs w:val="15"/>
              </w:rPr>
              <w:t xml:space="preserve">2024</w:t>
            </w:r>
          </w:p>
        </w:tc>
        <w:tc>
          <w:tcPr>
            <w:tcW w:type="dxa" w:w="1900"/>
            <w:shd w:fill="FFFFFF" w:val="clear"/>
            <w:tcMar>
              <w:top w:type="dxa" w:w="60"/>
              <w:left w:type="dxa" w:w="80"/>
              <w:bottom w:type="dxa" w:w="60"/>
              <w:right w:type="dxa" w:w="80"/>
            </w:tcMar>
          </w:tcPr>
          <w:p>
            <w:r>
              <w:rPr>
                <w:rFonts w:ascii="Calibri" w:cs="Calibri" w:eastAsia="Calibri" w:hAnsi="Calibri"/>
                <w:sz w:val="15"/>
                <w:szCs w:val="15"/>
              </w:rPr>
              <w:t xml:space="preserve">Semántica del color de cuerda mediante inteligencia artificial (BERT) — FUENTE PRIORITARIA</w:t>
            </w:r>
          </w:p>
        </w:tc>
        <w:tc>
          <w:tcPr>
            <w:tcW w:type="dxa" w:w="2000"/>
            <w:shd w:fill="FFFFFF" w:val="clear"/>
            <w:tcMar>
              <w:top w:type="dxa" w:w="60"/>
              <w:left w:type="dxa" w:w="80"/>
              <w:bottom w:type="dxa" w:w="60"/>
              <w:right w:type="dxa" w:w="80"/>
            </w:tcMar>
          </w:tcPr>
          <w:p>
            <w:r>
              <w:rPr>
                <w:rFonts w:ascii="Calibri" w:cs="Calibri" w:eastAsia="Calibri" w:hAnsi="Calibri"/>
                <w:sz w:val="15"/>
                <w:szCs w:val="15"/>
              </w:rPr>
              <w:t xml:space="preserve">OKR v2.0.0, 629 khipus, 48,681 registros de color</w:t>
            </w:r>
          </w:p>
        </w:tc>
        <w:tc>
          <w:tcPr>
            <w:tcW w:type="dxa" w:w="2000"/>
            <w:shd w:fill="FFFFFF" w:val="clear"/>
            <w:tcMar>
              <w:top w:type="dxa" w:w="60"/>
              <w:left w:type="dxa" w:w="80"/>
              <w:bottom w:type="dxa" w:w="60"/>
              <w:right w:type="dxa" w:w="80"/>
            </w:tcMar>
          </w:tcPr>
          <w:p>
            <w:r>
              <w:rPr>
                <w:rFonts w:ascii="Calibri" w:cs="Calibri" w:eastAsia="Calibri" w:hAnsi="Calibri"/>
                <w:sz w:val="15"/>
                <w:szCs w:val="15"/>
              </w:rPr>
              <w:t xml:space="preserve">Modelo transformer (BERT) + UMAP + HDBSCAN + similitud coseno</w:t>
            </w:r>
          </w:p>
        </w:tc>
        <w:tc>
          <w:tcPr>
            <w:tcW w:type="dxa" w:w="2300"/>
            <w:shd w:fill="FFFFFF" w:val="clear"/>
            <w:tcMar>
              <w:top w:type="dxa" w:w="60"/>
              <w:left w:type="dxa" w:w="80"/>
              <w:bottom w:type="dxa" w:w="60"/>
              <w:right w:type="dxa" w:w="80"/>
            </w:tcMar>
          </w:tcPr>
          <w:p>
            <w:r>
              <w:rPr>
                <w:rFonts w:ascii="Calibri" w:cs="Calibri" w:eastAsia="Calibri" w:hAnsi="Calibri"/>
                <w:sz w:val="15"/>
                <w:szCs w:val="15"/>
              </w:rPr>
              <w:t xml:space="preserve">Evidencia de sistema de color coherente y polisémico en 3 niveles (fundacional/extensión/refinamiento); validado con varas de Inkawasi (75%)</w:t>
            </w:r>
          </w:p>
        </w:tc>
        <w:tc>
          <w:tcPr>
            <w:tcW w:type="dxa" w:w="2000"/>
            <w:shd w:fill="FFFFFF" w:val="clear"/>
            <w:tcMar>
              <w:top w:type="dxa" w:w="60"/>
              <w:left w:type="dxa" w:w="80"/>
              <w:bottom w:type="dxa" w:w="60"/>
              <w:right w:type="dxa" w:w="80"/>
            </w:tcMar>
          </w:tcPr>
          <w:p>
            <w:r>
              <w:rPr>
                <w:rFonts w:ascii="Calibri" w:cs="Calibri" w:eastAsia="Calibri" w:hAnsi="Calibri"/>
                <w:sz w:val="15"/>
                <w:szCs w:val="15"/>
              </w:rPr>
              <w:t xml:space="preserve">Solo modela color (no material ni jerarquía estructural); cobertura parcial del universo de khipus</w:t>
            </w:r>
          </w:p>
        </w:tc>
        <w:tc>
          <w:tcPr>
            <w:tcW w:type="dxa" w:w="2000"/>
            <w:shd w:fill="FFFFFF" w:val="clear"/>
            <w:tcMar>
              <w:top w:type="dxa" w:w="60"/>
              <w:left w:type="dxa" w:w="80"/>
              <w:bottom w:type="dxa" w:w="60"/>
              <w:right w:type="dxa" w:w="80"/>
            </w:tcMar>
          </w:tcPr>
          <w:p>
            <w:r>
              <w:rPr>
                <w:rFonts w:ascii="Calibri" w:cs="Calibri" w:eastAsia="Calibri" w:hAnsi="Calibri"/>
                <w:sz w:val="15"/>
                <w:szCs w:val="15"/>
              </w:rPr>
              <w:t xml:space="preserve">Escala computacionalmente la teoría de Clindaniel (2019); dialoga con Medrano y Khosla (2024); usa nomenclatura de Brezine et al. (2024)</w:t>
            </w:r>
          </w:p>
        </w:tc>
      </w:tr>
    </w:tbl>
    <w:p>
      <w:pPr>
        <w:sectPr>
          <w:footerReference w:type="default" r:id="rId8"/>
          <w:pgSz w:w="15840" w:h="12240" w:orient="landscape"/>
          <w:pgMar w:top="900" w:right="720" w:bottom="900" w:left="720" w:header="708" w:footer="708" w:gutter="0"/>
          <w:pgNumType/>
          <w:docGrid w:linePitch="360"/>
        </w:sectPr>
      </w:pPr>
    </w:p>
    <w:p>
      <w:pPr>
        <w:pStyle w:val="Heading1"/>
        <w:pageBreakBefore/>
        <w:spacing w:after="240" w:before="480"/>
      </w:pPr>
      <w:r>
        <w:t xml:space="preserve">10. Síntesis global</w:t>
      </w:r>
    </w:p>
    <w:p>
      <w:pPr>
        <w:spacing w:after="160"/>
        <w:jc w:val="both"/>
      </w:pPr>
      <w:r>
        <w:rPr>
          <w:rFonts w:ascii="Calibri" w:cs="Calibri" w:eastAsia="Calibri" w:hAnsi="Calibri"/>
          <w:sz w:val="22"/>
          <w:szCs w:val="22"/>
        </w:rPr>
        <w:t xml:space="preserve">¿Qué podemos decir sobre los quipus después de considerar conjuntamente toda esta bibliografía? Cinco afirmaciones resumen lo que emerge de combinar las ocho fuentes analizadas, ordenadas de la más sólida a la más abierta.</w:t>
      </w:r>
    </w:p>
    <w:p>
      <w:pPr>
        <w:pStyle w:val="Heading2"/>
        <w:spacing w:after="160" w:before="340"/>
      </w:pPr>
      <w:r>
        <w:t xml:space="preserve">10.1 El quipu es, con creciente certeza empírica, un sistema de signos multicanal</w:t>
      </w:r>
    </w:p>
    <w:p>
      <w:pPr>
        <w:spacing w:after="160"/>
        <w:jc w:val="both"/>
      </w:pPr>
      <w:r>
        <w:rPr>
          <w:rFonts w:ascii="Calibri" w:cs="Calibri" w:eastAsia="Calibri" w:hAnsi="Calibri"/>
          <w:sz w:val="22"/>
          <w:szCs w:val="22"/>
        </w:rPr>
        <w:t xml:space="preserve">La combinación de las ocho fuentes deja pocas dudas de que un khipu inca no codificaba información únicamente a través de sus nudos numéricos. Al menos tres canales adicionales —dirección de nudo, color de cuerda, y patrón de agrupación de color (banding/seriación)— muestran evidencia estadísticamente no aleatoria de portar significado (Clindaniel 2019), y uno de esos canales, el color, ha sido ahora confirmado a escala de corpus completo mediante un método computacional independiente (Clindaniel 2024). Esta es la conclusión mejor respaldada de todo el corpus, porque converge desde direcciones metodológicas distintas: testimonio cronístico, testimonio etnográfico directo, estadística arqueológica y aprendizaje automático.</w:t>
      </w:r>
    </w:p>
    <w:p>
      <w:pPr>
        <w:pStyle w:val="Heading2"/>
        <w:spacing w:after="160" w:before="340"/>
      </w:pPr>
      <w:r>
        <w:t xml:space="preserve">10.2 El campo está pasando de “¿hay un código?” a “¿cómo de flexible es el código?”</w:t>
      </w:r>
    </w:p>
    <w:p>
      <w:pPr>
        <w:spacing w:after="160"/>
        <w:jc w:val="both"/>
      </w:pPr>
      <w:r>
        <w:rPr>
          <w:rFonts w:ascii="Calibri" w:cs="Calibri" w:eastAsia="Calibri" w:hAnsi="Calibri"/>
          <w:sz w:val="22"/>
          <w:szCs w:val="22"/>
        </w:rPr>
        <w:t xml:space="preserve">Antes de este conjunto de fuentes, la pregunta abierta era binaria: ¿tenían los quipus un sistema de signos no numéricos sistemático, o su variedad reflejaba solo idiosincrasia local? Clindaniel (2024) desplaza la pregunta: no se trata de un código rígido de correspondencias uno a uno (como sugerían, de forma simplificada, algunos cronistas), sino de un sistema con alta polisemia —colores que ocupan dominios semánticos distintos pero con múltiples sentidos relacionados según el contexto—, comparable estructuralmente a la manera en que las palabras de una lengua natural extienden su significado. Esta reformulación, si se sostiene, cambia el tipo de pregunta que la investigación futura debe hacerse: no “¿qué significa el color X?” sino “¿qué determina, en cada contexto, cuál de los sentidos posibles del color X está activo?” — pregunta que, según el propio corpus, permanece sin resolver (sección 7.7).</w:t>
      </w:r>
    </w:p>
    <w:p>
      <w:pPr>
        <w:pStyle w:val="Heading2"/>
        <w:spacing w:after="160" w:before="340"/>
      </w:pPr>
      <w:r>
        <w:t xml:space="preserve">10.3 El “giro agregativo” ha revisado, no solo confirmado, el conocimiento previo</w:t>
      </w:r>
    </w:p>
    <w:p>
      <w:pPr>
        <w:spacing w:after="160"/>
        <w:jc w:val="both"/>
      </w:pPr>
      <w:r>
        <w:rPr>
          <w:rFonts w:ascii="Calibri" w:cs="Calibri" w:eastAsia="Calibri" w:hAnsi="Calibri"/>
          <w:sz w:val="22"/>
          <w:szCs w:val="22"/>
        </w:rPr>
        <w:t xml:space="preserve">El desplazamiento hacia el análisis computacional de corpus completos (629-650 khipus, según el estudio) no se ha limitado a confirmar hipótesis previas basadas en estudios de caso: en al menos dos ocasiones documentadas en este corpus, ha revisado activamente afirmaciones que se daban por asumidas desde hace décadas. La primera es el papel de las cuerdas superiores (top cords), reidentificadas por Medrano y Khosla (2024) como marcadores de khipus de “trabajo” de bajo nivel y no como el locus principal de las sumas, contra la caracterización heredada de Locke (1923) y Ascher (1986). La segunda es la propia interpretación de Clindaniel (2019) sobre el significado del blanco en Inkawasi, matizada por Medrano y Khosla (2024) y dejada explícitamente sin resolver por el propio Clindaniel en 2024 (sección 7.1). Este patrón —revisión activa dentro de una comunidad de investigación pequeña y colaborativa— es en sí mismo un hallazgo transversal del corpus: la disciplina se está autocorrigiendo con datos, no solo acumulando hipótesis.</w:t>
      </w:r>
    </w:p>
    <w:p>
      <w:pPr>
        <w:pStyle w:val="Heading2"/>
        <w:spacing w:after="160" w:before="340"/>
      </w:pPr>
      <w:r>
        <w:t xml:space="preserve">10.4 La convencionalización del sistema de signos no es uniforme: depende de género y de geografía política</w:t>
      </w:r>
    </w:p>
    <w:p>
      <w:pPr>
        <w:spacing w:after="160"/>
        <w:jc w:val="both"/>
      </w:pPr>
      <w:r>
        <w:rPr>
          <w:rFonts w:ascii="Calibri" w:cs="Calibri" w:eastAsia="Calibri" w:hAnsi="Calibri"/>
          <w:sz w:val="22"/>
          <w:szCs w:val="22"/>
        </w:rPr>
        <w:t xml:space="preserve">Un hallazgo transversal, presente tanto en la disertación de Clindaniel (2019, caps. 3 y 5) como, de forma más matizada, en Clindaniel (2024, p.20-22), es que ni la dirección de nudo ni el patrón de color se aplican de manera absolutamente uniforme en todo el territorio y en todos los géneros textuales del khipu: existen excepciones geográficamente localizadas (Armatambo, Colesuyu) que los propios autores interpretan, con cautela explícita, como posible evidencia de códigos locales o de una convencionalización imperial debilitada en zonas de control político indirecto. Esto matiza cualquier narrativa que presente “el código del khipu inca” como un sistema monolítico y perfectamente homogéneo.</w:t>
      </w:r>
    </w:p>
    <w:p>
      <w:pPr>
        <w:pStyle w:val="Heading2"/>
        <w:spacing w:after="160" w:before="340"/>
      </w:pPr>
      <w:r>
        <w:t xml:space="preserve">10.5 Sigue existiendo un vacío de cobertura de datos que condiciona toda conclusión general</w:t>
      </w:r>
    </w:p>
    <w:p>
      <w:pPr>
        <w:spacing w:after="160"/>
        <w:jc w:val="both"/>
      </w:pPr>
      <w:r>
        <w:rPr>
          <w:rFonts w:ascii="Calibri" w:cs="Calibri" w:eastAsia="Calibri" w:hAnsi="Calibri"/>
          <w:sz w:val="22"/>
          <w:szCs w:val="22"/>
        </w:rPr>
        <w:t xml:space="preserve">Ninguna de las conclusiones anteriores puede leerse sin el límite señalado, de una forma u otra, por prácticamente todas las fuentes: el corpus digitalizado y computacionalmente analizable (629 a 650 khipus, según la fuente) representa menos de la mitad de los 1,386 khipus físicamente conocidos (Medrano 2021), y ese universo conocido es, a su vez, según estimación del propio Medrano (2021, p.27), “con toda probabilidad, menos del 1%” de los quipus que existieron en los Andes antes y durante el periodo colonial temprano. Toda afirmación de este documento sobre “el” sistema de signos del khipu inca debe leerse, en última instancia, como una afirmación sobre el subconjunto de khipus que ha sobrevivido, se ha catalogado y se ha digitalizado — no sobre la totalidad del fenómeno histórico.</w:t>
      </w:r>
    </w:p>
    <w:p>
      <w:pPr>
        <w:pStyle w:val="Heading1"/>
        <w:pageBreakBefore/>
        <w:spacing w:after="240" w:before="480"/>
      </w:pPr>
      <w:r>
        <w:t xml:space="preserve">11. Oportunidades de investigación</w:t>
      </w:r>
    </w:p>
    <w:p>
      <w:pPr>
        <w:spacing w:after="160"/>
        <w:jc w:val="both"/>
      </w:pPr>
      <w:r>
        <w:rPr>
          <w:rFonts w:ascii="Calibri" w:cs="Calibri" w:eastAsia="Calibri" w:hAnsi="Calibri"/>
          <w:sz w:val="22"/>
          <w:szCs w:val="22"/>
        </w:rPr>
        <w:t xml:space="preserve">Las oportunidades siguientes están fundamentadas directamente en necesidades, limitaciones o líneas futuras identificadas explícitamente por las propias fuentes del corpus (se indica la fuente motivadora en cada caso). La última oportunidad (11.9) es una inferencia de esta revisión al cruzar dos fuentes que no se cruzan explícitamente entre sí, y se señala como tal.</w:t>
      </w:r>
    </w:p>
    <w:p>
      <w:pPr>
        <w:pStyle w:val="ListParagraph"/>
        <w:numPr>
          <w:ilvl w:val="0"/>
          <w:numId w:val="1"/>
        </w:numPr>
        <w:spacing w:after="90"/>
      </w:pPr>
      <w:r>
        <w:rPr>
          <w:rFonts w:ascii="Calibri" w:cs="Calibri" w:eastAsia="Calibri" w:hAnsi="Calibri"/>
          <w:b/>
          <w:bCs/>
          <w:sz w:val="22"/>
          <w:szCs w:val="22"/>
        </w:rPr>
        <w:t xml:space="preserve">1. Incorporar variables adicionales al modelo de IA de color (material de la cuerda, jerarquía estructural khipu/cuerda primaria/kaytes). </w:t>
      </w:r>
      <w:r>
        <w:rPr>
          <w:rFonts w:ascii="Calibri" w:cs="Calibri" w:eastAsia="Calibri" w:hAnsi="Calibri"/>
          <w:sz w:val="22"/>
          <w:szCs w:val="22"/>
        </w:rPr>
        <w:t xml:space="preserve">Motivada explícitamente por Clindaniel (2024, p.27-28), quien identifica esto como la limitación más directa de su propio modelo.</w:t>
      </w:r>
    </w:p>
    <w:p>
      <w:pPr>
        <w:pStyle w:val="ListParagraph"/>
        <w:numPr>
          <w:ilvl w:val="0"/>
          <w:numId w:val="1"/>
        </w:numPr>
        <w:spacing w:after="90"/>
      </w:pPr>
      <w:r>
        <w:rPr>
          <w:rFonts w:ascii="Calibri" w:cs="Calibri" w:eastAsia="Calibri" w:hAnsi="Calibri"/>
          <w:b/>
          <w:bCs/>
          <w:sz w:val="22"/>
          <w:szCs w:val="22"/>
        </w:rPr>
        <w:t xml:space="preserve">2. Extender el análisis computacional de color a khipus preincas (wari) y “proto-khipus”. </w:t>
      </w:r>
      <w:r>
        <w:rPr>
          <w:rFonts w:ascii="Calibri" w:cs="Calibri" w:eastAsia="Calibri" w:hAnsi="Calibri"/>
          <w:sz w:val="22"/>
          <w:szCs w:val="22"/>
        </w:rPr>
        <w:t xml:space="preserve">Motivada explícitamente por Clindaniel (2024, p.28), para testear si la polisemia hallada en khipus incas es un fenómeno propio del periodo inca o tiene continuidad histórica más profunda.</w:t>
      </w:r>
    </w:p>
    <w:p>
      <w:pPr>
        <w:pStyle w:val="ListParagraph"/>
        <w:numPr>
          <w:ilvl w:val="0"/>
          <w:numId w:val="1"/>
        </w:numPr>
        <w:spacing w:after="90"/>
      </w:pPr>
      <w:r>
        <w:rPr>
          <w:rFonts w:ascii="Calibri" w:cs="Calibri" w:eastAsia="Calibri" w:hAnsi="Calibri"/>
          <w:b/>
          <w:bCs/>
          <w:sz w:val="22"/>
          <w:szCs w:val="22"/>
        </w:rPr>
        <w:t xml:space="preserve">3. Digitalizar la porción del corpus físico de khipus aún no incorporada a bases de datos computacionales. </w:t>
      </w:r>
      <w:r>
        <w:rPr>
          <w:rFonts w:ascii="Calibri" w:cs="Calibri" w:eastAsia="Calibri" w:hAnsi="Calibri"/>
          <w:sz w:val="22"/>
          <w:szCs w:val="22"/>
        </w:rPr>
        <w:t xml:space="preserve">Motivada por el contraste explícito entre el inventario de 1,386 khipus físicos (Medrano 2021) y los 629-650 khipus digitalizados citados en 2024 (Clindaniel 2024; Medrano y Khosla 2024) — más de la mitad del corpus físico conocido permanece fuera del alcance de cualquier análisis computacional actual.</w:t>
      </w:r>
    </w:p>
    <w:p>
      <w:pPr>
        <w:pStyle w:val="ListParagraph"/>
        <w:numPr>
          <w:ilvl w:val="0"/>
          <w:numId w:val="1"/>
        </w:numPr>
        <w:spacing w:after="90"/>
      </w:pPr>
      <w:r>
        <w:rPr>
          <w:rFonts w:ascii="Calibri" w:cs="Calibri" w:eastAsia="Calibri" w:hAnsi="Calibri"/>
          <w:b/>
          <w:bCs/>
          <w:sz w:val="22"/>
          <w:szCs w:val="22"/>
        </w:rPr>
        <w:t xml:space="preserve">4. Definir y documentar una estrategia de citación dual (nombres antiguos AS/UR/HP/QU/JC/LL y nuevos KH####) para la literatura de transición. </w:t>
      </w:r>
      <w:r>
        <w:rPr>
          <w:rFonts w:ascii="Calibri" w:cs="Calibri" w:eastAsia="Calibri" w:hAnsi="Calibri"/>
          <w:sz w:val="22"/>
          <w:szCs w:val="22"/>
        </w:rPr>
        <w:t xml:space="preserve">Motivada por una laguna identificada en esta revisión: Brezine et al. (2024) no especifican en el texto analizado una recomendación editorial explícita al respecto, pese a que ambos sistemas de nombres coexistirán en la literatura durante años.</w:t>
      </w:r>
    </w:p>
    <w:p>
      <w:pPr>
        <w:pStyle w:val="ListParagraph"/>
        <w:numPr>
          <w:ilvl w:val="0"/>
          <w:numId w:val="1"/>
        </w:numPr>
        <w:spacing w:after="90"/>
      </w:pPr>
      <w:r>
        <w:rPr>
          <w:rFonts w:ascii="Calibri" w:cs="Calibri" w:eastAsia="Calibri" w:hAnsi="Calibri"/>
          <w:b/>
          <w:bCs/>
          <w:sz w:val="22"/>
          <w:szCs w:val="22"/>
        </w:rPr>
        <w:t xml:space="preserve">5. Escalar computacionalmente la metodología de “khipu fragmentology”. </w:t>
      </w:r>
      <w:r>
        <w:rPr>
          <w:rFonts w:ascii="Calibri" w:cs="Calibri" w:eastAsia="Calibri" w:hAnsi="Calibri"/>
          <w:sz w:val="22"/>
          <w:szCs w:val="22"/>
        </w:rPr>
        <w:t xml:space="preserve">Motivada por el caso de éxito de reagrupamiento del khipu fragmentado KH0468 mediante evidencia aritmética (Medrano y Khosla 2024, p.10-15), que los propios autores presentan como prueba de concepto de un método generalizable, no como un caso agotado.</w:t>
      </w:r>
    </w:p>
    <w:p>
      <w:pPr>
        <w:pStyle w:val="ListParagraph"/>
        <w:numPr>
          <w:ilvl w:val="0"/>
          <w:numId w:val="1"/>
        </w:numPr>
        <w:spacing w:after="90"/>
      </w:pPr>
      <w:r>
        <w:rPr>
          <w:rFonts w:ascii="Calibri" w:cs="Calibri" w:eastAsia="Calibri" w:hAnsi="Calibri"/>
          <w:b/>
          <w:bCs/>
          <w:sz w:val="22"/>
          <w:szCs w:val="22"/>
        </w:rPr>
        <w:t xml:space="preserve">6. Desarrollar herramientas de visualización interactiva (2D/3D, realidad aumentada/virtual) del corpus digital de khipus. </w:t>
      </w:r>
      <w:r>
        <w:rPr>
          <w:rFonts w:ascii="Calibri" w:cs="Calibri" w:eastAsia="Calibri" w:hAnsi="Calibri"/>
          <w:sz w:val="22"/>
          <w:szCs w:val="22"/>
        </w:rPr>
        <w:t xml:space="preserve">Motivada explícitamente por Medrano (2021, p.129-133, 140-141), quien la señala como una de las tres vías digitales prioritarias, junto con la IA, citando el precedente del “Khipu Field Guide” de Ashok Khosla (2021).</w:t>
      </w:r>
    </w:p>
    <w:p>
      <w:pPr>
        <w:pStyle w:val="ListParagraph"/>
        <w:numPr>
          <w:ilvl w:val="0"/>
          <w:numId w:val="1"/>
        </w:numPr>
        <w:spacing w:after="90"/>
      </w:pPr>
      <w:r>
        <w:rPr>
          <w:rFonts w:ascii="Calibri" w:cs="Calibri" w:eastAsia="Calibri" w:hAnsi="Calibri"/>
          <w:b/>
          <w:bCs/>
          <w:sz w:val="22"/>
          <w:szCs w:val="22"/>
        </w:rPr>
        <w:t xml:space="preserve">7. Cruzar y unificar el inventario físico global (Anexo de Medrano 2021) con los registros de digitalización del OKR. </w:t>
      </w:r>
      <w:r>
        <w:rPr>
          <w:rFonts w:ascii="Calibri" w:cs="Calibri" w:eastAsia="Calibri" w:hAnsi="Calibri"/>
          <w:sz w:val="22"/>
          <w:szCs w:val="22"/>
        </w:rPr>
        <w:t xml:space="preserve">Motivada por una laguna identificada en esta revisión: estos dos conjuntos de datos existen en fuentes separadas del corpus y no aparecen cruzados explícitamente en ninguna de ellas, lo que impide hoy calcular con precisión el porcentaje exacto de cobertura digital por país, institución o colección.</w:t>
      </w:r>
    </w:p>
    <w:p>
      <w:pPr>
        <w:pStyle w:val="ListParagraph"/>
        <w:numPr>
          <w:ilvl w:val="0"/>
          <w:numId w:val="1"/>
        </w:numPr>
        <w:spacing w:after="90"/>
      </w:pPr>
      <w:r>
        <w:rPr>
          <w:rFonts w:ascii="Calibri" w:cs="Calibri" w:eastAsia="Calibri" w:hAnsi="Calibri"/>
          <w:b/>
          <w:bCs/>
          <w:sz w:val="22"/>
          <w:szCs w:val="22"/>
        </w:rPr>
        <w:t xml:space="preserve">8. Probar sistemáticamente la hipótesis del material de la cuerda como variable semántica adicional. </w:t>
      </w:r>
      <w:r>
        <w:rPr>
          <w:rFonts w:ascii="Calibri" w:cs="Calibri" w:eastAsia="Calibri" w:hAnsi="Calibri"/>
          <w:sz w:val="22"/>
          <w:szCs w:val="22"/>
        </w:rPr>
        <w:t xml:space="preserve">Motivada explícitamente por la observación de Clindaniel (2024, p.27) de que dos khipus de materiales atípicos (fibra de camélido y cabello humano) se agrupan junto con el negro en su modelo de solo color, sugiriendo —sin probarlo— que el material podría aportar matices semánticos independientes.</w:t>
      </w:r>
    </w:p>
    <w:p>
      <w:pPr>
        <w:pStyle w:val="ListParagraph"/>
        <w:numPr>
          <w:ilvl w:val="0"/>
          <w:numId w:val="1"/>
        </w:numPr>
        <w:spacing w:after="90"/>
      </w:pPr>
      <w:r>
        <w:rPr>
          <w:rFonts w:ascii="Calibri" w:cs="Calibri" w:eastAsia="Calibri" w:hAnsi="Calibri"/>
          <w:b/>
          <w:bCs/>
          <w:sz w:val="22"/>
          <w:szCs w:val="22"/>
        </w:rPr>
        <w:t xml:space="preserve">9. Integrar el análisis de relaciones aritméticas (Medrano y Khosla 2024) y el análisis semántico de color (Clindaniel 2024) en un solo modelo computacional conjunto. </w:t>
      </w:r>
      <w:r>
        <w:rPr>
          <w:rFonts w:ascii="Calibri" w:cs="Calibri" w:eastAsia="Calibri" w:hAnsi="Calibri"/>
          <w:sz w:val="22"/>
          <w:szCs w:val="22"/>
        </w:rPr>
        <w:t xml:space="preserve">Inferencia derivada de la comparación bibliográfica realizada en este documento (no propuesta explícitamente por ninguna de las dos fuentes): ambos estudios usan el mismo corpus base (OKR) y coinciden en analizar el mismo fenómeno —el rol del color blanco en clústeres de suma— desde ángulos metodológicos distintos y sin resolver la discrepancia entre ellos (ver sección 7.1); un modelo que incorpore simultáneamente la estructura aritmética de las cuerdas (Medrano y Khosla) y su representación semántica de color aprendida por IA (Clindaniel) podría, en principio, arbitrar empíricamente esa discrepancia — pero esta es una propuesta de esta revisión, no un resultado ni una recomendación de las fuentes originales.</w:t>
      </w:r>
    </w:p>
    <w:p>
      <w:pPr>
        <w:pStyle w:val="Heading1"/>
        <w:pageBreakBefore/>
        <w:spacing w:after="240" w:before="480"/>
      </w:pPr>
      <w:r>
        <w:t xml:space="preserve">12. Posibles conexiones con un proyecto de investigación futuro</w:t>
      </w:r>
    </w:p>
    <w:p>
      <w:pPr>
        <w:spacing w:after="160"/>
        <w:jc w:val="both"/>
      </w:pPr>
      <w:r>
        <w:rPr>
          <w:rFonts w:ascii="Calibri" w:cs="Calibri" w:eastAsia="Calibri" w:hAnsi="Calibri"/>
          <w:sz w:val="22"/>
          <w:szCs w:val="22"/>
        </w:rPr>
        <w:t xml:space="preserve">Esta sección distingue explícitamente entre lo que dicen las fuentes (columna izquierda de cada punto) y lo que podría investigarse a partir de ellas en un proyecto propio (columna derecha), evitando presentar ninguna de las segundas como un hallazgo ya establecido.</w:t>
      </w:r>
    </w:p>
    <w:p>
      <w:pPr>
        <w:pStyle w:val="Heading2"/>
        <w:spacing w:after="160" w:before="340"/>
      </w:pPr>
      <w:r>
        <w:t xml:space="preserve">12.1 Sobre infraestructura de datos</w:t>
      </w:r>
    </w:p>
    <w:p>
      <w:pPr>
        <w:spacing w:after="160"/>
        <w:jc w:val="both"/>
      </w:pPr>
      <w:r>
        <w:rPr>
          <w:rFonts w:ascii="Calibri" w:cs="Calibri" w:eastAsia="Calibri" w:hAnsi="Calibri"/>
          <w:b/>
          <w:bCs/>
          <w:sz w:val="22"/>
          <w:szCs w:val="22"/>
        </w:rPr>
        <w:t xml:space="preserve">Lo que dicen las fuentes: </w:t>
      </w:r>
      <w:r>
        <w:rPr>
          <w:rFonts w:ascii="Calibri" w:cs="Calibri" w:eastAsia="Calibri" w:hAnsi="Calibri"/>
          <w:sz w:val="22"/>
          <w:szCs w:val="22"/>
        </w:rPr>
        <w:t xml:space="preserve">El Open Khipu Repository (OKR) es descrito por Brezine et al. (2024, p.5) como una base de datos relacional SQLite, con tabla central KHIPU_MAIN, llave primaria KHIPU_ID, y campos INVESTIGATOR_NUM/OKR_NUM; alojada públicamente en GitHub, con versiones archivadas en Zenodo (DOI por versión). El nombre del directorio de trabajo de este proyecto (“open-khipu-repository”) y las convenciones ya en uso en él (por ejemplo, una base de datos SQLite llamada khipu.db, según el registro de cambios del propio repositorio) sugieren una posible relación directa o inspiración explícita en esa misma infraestructura.</w:t>
      </w:r>
    </w:p>
    <w:p>
      <w:pPr>
        <w:spacing w:after="160"/>
        <w:jc w:val="both"/>
      </w:pPr>
      <w:r>
        <w:rPr>
          <w:rFonts w:ascii="Calibri" w:cs="Calibri" w:eastAsia="Calibri" w:hAnsi="Calibri"/>
          <w:b/>
          <w:bCs/>
          <w:sz w:val="22"/>
          <w:szCs w:val="22"/>
        </w:rPr>
        <w:t xml:space="preserve">Qué podría investigarse: </w:t>
      </w:r>
      <w:r>
        <w:rPr>
          <w:rFonts w:ascii="Calibri" w:cs="Calibri" w:eastAsia="Calibri" w:hAnsi="Calibri"/>
          <w:sz w:val="22"/>
          <w:szCs w:val="22"/>
        </w:rPr>
        <w:t xml:space="preserve">Verificar directamente —revisando el esquema real de khipu.db— si esta base de datos local es una copia, una réplica parcial, o un esquema independiente del OKR descrito en Brezine et al. (2024). Esa verificación determina si es posible o conveniente adoptar directamente el esquema publicado (tabla KHIPU_MAIN, campos KHIPU_ID/OKR_NUM), la convención de nomenclatura KH#### y el Khipu Color Code System (KCCS) para garantizar compatibilidad con el código y los datos ya publicados por Clindaniel (2024) y Medrano y Khosla (2024).</w:t>
      </w:r>
    </w:p>
    <w:p>
      <w:pPr>
        <w:pStyle w:val="Heading2"/>
        <w:spacing w:after="160" w:before="340"/>
      </w:pPr>
      <w:r>
        <w:t xml:space="preserve">12.2 Sobre un punto de partida técnico reproducible para IA</w:t>
      </w:r>
    </w:p>
    <w:p>
      <w:pPr>
        <w:spacing w:after="160"/>
        <w:jc w:val="both"/>
      </w:pPr>
      <w:r>
        <w:rPr>
          <w:rFonts w:ascii="Calibri" w:cs="Calibri" w:eastAsia="Calibri" w:hAnsi="Calibri"/>
          <w:b/>
          <w:bCs/>
          <w:sz w:val="22"/>
          <w:szCs w:val="22"/>
        </w:rPr>
        <w:t xml:space="preserve">Lo que dicen las fuentes: </w:t>
      </w:r>
      <w:r>
        <w:rPr>
          <w:rFonts w:ascii="Calibri" w:cs="Calibri" w:eastAsia="Calibri" w:hAnsi="Calibri"/>
          <w:sz w:val="22"/>
          <w:szCs w:val="22"/>
        </w:rPr>
        <w:t xml:space="preserve">Clindaniel (2024) publica en Zenodo (doi:10.5281/zenodo.11218148) el código completo de entrenamiento de su modelo BERT sobre datos de color de khipu, incluyendo el pipeline de preprocesamiento (KCCS → tokens [SEP]/[MASK]), el entrenamiento del modelo, la búsqueda de hiperparámetros con Optuna, y el análisis posterior con UMAP/HDBSCAN.</w:t>
      </w:r>
    </w:p>
    <w:p>
      <w:pPr>
        <w:spacing w:after="160"/>
        <w:jc w:val="both"/>
      </w:pPr>
      <w:r>
        <w:rPr>
          <w:rFonts w:ascii="Calibri" w:cs="Calibri" w:eastAsia="Calibri" w:hAnsi="Calibri"/>
          <w:b/>
          <w:bCs/>
          <w:sz w:val="22"/>
          <w:szCs w:val="22"/>
        </w:rPr>
        <w:t xml:space="preserve">Qué podría investigarse: </w:t>
      </w:r>
      <w:r>
        <w:rPr>
          <w:rFonts w:ascii="Calibri" w:cs="Calibri" w:eastAsia="Calibri" w:hAnsi="Calibri"/>
          <w:sz w:val="22"/>
          <w:szCs w:val="22"/>
        </w:rPr>
        <w:t xml:space="preserve">Este repositorio es, dentro de todo el corpus analizado, el único punto de partida de código abierto y directamente ejecutable para cualquier proyecto de IA aplicada a khipus. Un proyecto futuro podría partir de él para (a) reentrenar el mismo tipo de modelo sobre versiones actualizadas o ampliadas del OKR, o (b) adaptar el mismo pipeline de tokenización y enmascaramiento a otras variables del khipu (nudos, materiales) siguiendo las líneas de investigación futura que el propio Clindaniel (2024, p.27-28) deja explícitamente abiertas.</w:t>
      </w:r>
    </w:p>
    <w:p>
      <w:pPr>
        <w:pStyle w:val="Heading2"/>
        <w:spacing w:after="160" w:before="340"/>
      </w:pPr>
      <w:r>
        <w:t xml:space="preserve">12.3 Sobre catalogación y gobernanza de datos</w:t>
      </w:r>
    </w:p>
    <w:p>
      <w:pPr>
        <w:spacing w:after="160"/>
        <w:jc w:val="both"/>
      </w:pPr>
      <w:r>
        <w:rPr>
          <w:rFonts w:ascii="Calibri" w:cs="Calibri" w:eastAsia="Calibri" w:hAnsi="Calibri"/>
          <w:b/>
          <w:bCs/>
          <w:sz w:val="22"/>
          <w:szCs w:val="22"/>
        </w:rPr>
        <w:t xml:space="preserve">Lo que dicen las fuentes: </w:t>
      </w:r>
      <w:r>
        <w:rPr>
          <w:rFonts w:ascii="Calibri" w:cs="Calibri" w:eastAsia="Calibri" w:hAnsi="Calibri"/>
          <w:sz w:val="22"/>
          <w:szCs w:val="22"/>
        </w:rPr>
        <w:t xml:space="preserve">Brezine et al. (2024) documentan un proceso completo, con reglas explícitas, de migración de nomenclatura de un corpus vivo (630 khipus) sin destruir la trazabilidad histórica de nombres anteriores, y argumentan explícitamente a favor de un enfoque “aditivo” (nunca sobrescribir el pasado académico).</w:t>
      </w:r>
    </w:p>
    <w:p>
      <w:pPr>
        <w:spacing w:after="160"/>
        <w:jc w:val="both"/>
      </w:pPr>
      <w:r>
        <w:rPr>
          <w:rFonts w:ascii="Calibri" w:cs="Calibri" w:eastAsia="Calibri" w:hAnsi="Calibri"/>
          <w:b/>
          <w:bCs/>
          <w:sz w:val="22"/>
          <w:szCs w:val="22"/>
        </w:rPr>
        <w:t xml:space="preserve">Qué podría investigarse: </w:t>
      </w:r>
      <w:r>
        <w:rPr>
          <w:rFonts w:ascii="Calibri" w:cs="Calibri" w:eastAsia="Calibri" w:hAnsi="Calibri"/>
          <w:sz w:val="22"/>
          <w:szCs w:val="22"/>
        </w:rPr>
        <w:t xml:space="preserve">Este proceso documentado —reglas de mapeo cronológico, consolidación de duplicados, tabla de correspondencia pública— es un caso de estudio directamente aplicable si un proyecto propio necesita en algún momento renombrar, fusionar o versionar identificadores de especímenes en su propia base de datos, evitando repetir los problemas de trazabilidad que Brezine et al. (2024) documentan para el sistema previo.</w:t>
      </w:r>
    </w:p>
    <w:p>
      <w:pPr>
        <w:pStyle w:val="Heading2"/>
        <w:spacing w:after="160" w:before="340"/>
      </w:pPr>
      <w:r>
        <w:t xml:space="preserve">12.4 Sobre la síntesis aritmética y semántica</w:t>
      </w:r>
    </w:p>
    <w:p>
      <w:pPr>
        <w:spacing w:after="160"/>
        <w:jc w:val="both"/>
      </w:pPr>
      <w:r>
        <w:rPr>
          <w:rFonts w:ascii="Calibri" w:cs="Calibri" w:eastAsia="Calibri" w:hAnsi="Calibri"/>
          <w:b/>
          <w:bCs/>
          <w:sz w:val="22"/>
          <w:szCs w:val="22"/>
        </w:rPr>
        <w:t xml:space="preserve">Lo que dicen las fuentes: </w:t>
      </w:r>
      <w:r>
        <w:rPr>
          <w:rFonts w:ascii="Calibri" w:cs="Calibri" w:eastAsia="Calibri" w:hAnsi="Calibri"/>
          <w:sz w:val="22"/>
          <w:szCs w:val="22"/>
        </w:rPr>
        <w:t xml:space="preserve">Medrano y Khosla (2024) y Clindaniel (2024) analizan, con métodos independientes, el mismo corpus (OKR) y llegan a interpretaciones parcialmente divergentes sobre el papel semántico del color blanco en los khipus (ver sección 7.1), sin resolver la discrepancia entre ambos estudios.</w:t>
      </w:r>
    </w:p>
    <w:p>
      <w:pPr>
        <w:spacing w:after="160"/>
        <w:jc w:val="both"/>
      </w:pPr>
      <w:r>
        <w:rPr>
          <w:rFonts w:ascii="Calibri" w:cs="Calibri" w:eastAsia="Calibri" w:hAnsi="Calibri"/>
          <w:b/>
          <w:bCs/>
          <w:sz w:val="22"/>
          <w:szCs w:val="22"/>
        </w:rPr>
        <w:t xml:space="preserve">Qué podría investigarse: </w:t>
      </w:r>
      <w:r>
        <w:rPr>
          <w:rFonts w:ascii="Calibri" w:cs="Calibri" w:eastAsia="Calibri" w:hAnsi="Calibri"/>
          <w:sz w:val="22"/>
          <w:szCs w:val="22"/>
        </w:rPr>
        <w:t xml:space="preserve">Como se señaló en la oportunidad 11.9, un proyecto propio podría explorar si un modelo que combine explícitamente la estructura aritmética descubierta por Medrano y Khosla con la representación semántica de color aprendida por el modelo de Clindaniel permite arbitrar empíricamente esa discrepancia — una propuesta de esta revisión, no una conclusión ni una recomendación de ninguna de las dos fuentes originales.</w:t>
      </w:r>
    </w:p>
    <w:p>
      <w:pPr>
        <w:pStyle w:val="Heading2"/>
        <w:spacing w:after="160" w:before="340"/>
      </w:pPr>
      <w:r>
        <w:t xml:space="preserve">12.5 Sobre visualización y herramientas de exploración del corpus</w:t>
      </w:r>
    </w:p>
    <w:p>
      <w:pPr>
        <w:spacing w:after="160"/>
        <w:jc w:val="both"/>
      </w:pPr>
      <w:r>
        <w:rPr>
          <w:rFonts w:ascii="Calibri" w:cs="Calibri" w:eastAsia="Calibri" w:hAnsi="Calibri"/>
          <w:b/>
          <w:bCs/>
          <w:sz w:val="22"/>
          <w:szCs w:val="22"/>
        </w:rPr>
        <w:t xml:space="preserve">Lo que dicen las fuentes: </w:t>
      </w:r>
      <w:r>
        <w:rPr>
          <w:rFonts w:ascii="Calibri" w:cs="Calibri" w:eastAsia="Calibri" w:hAnsi="Calibri"/>
          <w:sz w:val="22"/>
          <w:szCs w:val="22"/>
        </w:rPr>
        <w:t xml:space="preserve">Medrano (2021, cap. 6) plantea la visualización interactiva como una de las tres vías digitales prioritarias para el campo, sin que ninguna fuente del corpus documente una herramienta ya construida y evaluada con ese propósito específico (más allá de la mención al “Khipu Field Guide” de Khosla, cuyo contenido técnico no está detallado en las fuentes analizadas).</w:t>
      </w:r>
    </w:p>
    <w:p>
      <w:pPr>
        <w:spacing w:after="160"/>
        <w:jc w:val="both"/>
      </w:pPr>
      <w:r>
        <w:rPr>
          <w:rFonts w:ascii="Calibri" w:cs="Calibri" w:eastAsia="Calibri" w:hAnsi="Calibri"/>
          <w:b/>
          <w:bCs/>
          <w:sz w:val="22"/>
          <w:szCs w:val="22"/>
        </w:rPr>
        <w:t xml:space="preserve">Qué podría investigarse: </w:t>
      </w:r>
      <w:r>
        <w:rPr>
          <w:rFonts w:ascii="Calibri" w:cs="Calibri" w:eastAsia="Calibri" w:hAnsi="Calibri"/>
          <w:sz w:val="22"/>
          <w:szCs w:val="22"/>
        </w:rPr>
        <w:t xml:space="preserve">Existe, según lo documentado en este corpus, un vacío de herramientas de visualización pública evaluadas formalmente; un catálogo filtrable del corpus khipu (coherente con el objetivo de caracterización de corpus y catálogo filtrable ya identificado como meta de este proyecto) podría apoyarse directamente en el esquema de datos KDB (Basel Khipu Report) y en los identificadores KH#### del OKR para ofrecer una interfaz de exploración que hoy, según lo revisado, no está descrita en ninguna fuente del corpus.</w:t>
      </w:r>
    </w:p>
    <w:p>
      <w:pPr>
        <w:pStyle w:val="Heading1"/>
        <w:pageBreakBefore/>
        <w:spacing w:after="240" w:before="480"/>
      </w:pPr>
      <w:r>
        <w:t xml:space="preserve">13. Bibliografía</w:t>
      </w:r>
    </w:p>
    <w:p>
      <w:pPr>
        <w:spacing w:after="160"/>
        <w:jc w:val="both"/>
      </w:pPr>
      <w:r>
        <w:rPr>
          <w:rFonts w:ascii="Calibri" w:cs="Calibri" w:eastAsia="Calibri" w:hAnsi="Calibri"/>
          <w:sz w:val="22"/>
          <w:szCs w:val="22"/>
        </w:rPr>
        <w:t xml:space="preserve">Se listan las 8 fuentes analizadas, agrupadas por documento original cuando corresponde (47664 y 47665 son partes de la misma publicación que Medrano 2021 - Quipus.pdf). Formato: Autor(es). Año. “Título”. Publicación. Editorial/institución. DOI/URL cuando está disponible. No se completan datos que no figuran en la fuente analizada.</w:t>
      </w:r>
    </w:p>
    <w:p>
      <w:pPr>
        <w:pStyle w:val="Heading3"/>
        <w:spacing w:after="120" w:before="240"/>
      </w:pPr>
      <w:r>
        <w:t xml:space="preserve">Brezine, Carrie J., Jon Clindaniel, Iván Ghezzi, Sabine Hyland, y Manuel Medrano. 2024.</w:t>
      </w:r>
    </w:p>
    <w:p>
      <w:pPr>
        <w:spacing w:after="160"/>
        <w:jc w:val="both"/>
      </w:pPr>
      <w:r>
        <w:rPr>
          <w:rFonts w:ascii="Calibri" w:cs="Calibri" w:eastAsia="Calibri" w:hAnsi="Calibri"/>
          <w:sz w:val="22"/>
          <w:szCs w:val="22"/>
        </w:rPr>
        <w:t xml:space="preserve">“A New Naming Convention for Andean Khipus”. Latin American Antiquity. doi:10.1017/laq.2023.71. Recibido 9 de agosto de 2022; aceptado 21 de noviembre de 2023. Archivo: Brezine_et_al_2024_KhipuNaming.pdf.</w:t>
      </w:r>
    </w:p>
    <w:p>
      <w:pPr>
        <w:pStyle w:val="Heading3"/>
        <w:spacing w:after="120" w:before="240"/>
      </w:pPr>
      <w:r>
        <w:t xml:space="preserve">Clindaniel, Jon. 2019 [diciembre de 2018].</w:t>
      </w:r>
    </w:p>
    <w:p>
      <w:pPr>
        <w:spacing w:after="160"/>
        <w:jc w:val="both"/>
      </w:pPr>
      <w:r>
        <w:rPr>
          <w:rFonts w:ascii="Calibri" w:cs="Calibri" w:eastAsia="Calibri" w:hAnsi="Calibri"/>
          <w:sz w:val="22"/>
          <w:szCs w:val="22"/>
        </w:rPr>
        <w:t xml:space="preserve">“Toward a Grammar of the Inka Khipu: Investigating the Production of Non-numerical Signs”. Tesis doctoral (Doctor of Philosophy in Anthropology), Harvard University, Graduate School of Arts &amp; Sciences, Department of Anthropology. Asesor: Gary Urton. Repositorio: Harvard DASH, http://nrs.harvard.edu/urn-3:HUL.InstRepos:42029631. Archivo: CLINDANIEL-DISSERTATION-2019.pdf.</w:t>
      </w:r>
    </w:p>
    <w:p>
      <w:pPr>
        <w:pStyle w:val="Heading3"/>
        <w:spacing w:after="120" w:before="240"/>
      </w:pPr>
      <w:r>
        <w:t xml:space="preserve">Clindaniel, Jon. 2024.</w:t>
      </w:r>
    </w:p>
    <w:p>
      <w:pPr>
        <w:spacing w:after="160"/>
        <w:jc w:val="both"/>
      </w:pPr>
      <w:r>
        <w:rPr>
          <w:rFonts w:ascii="Calibri" w:cs="Calibri" w:eastAsia="Calibri" w:hAnsi="Calibri"/>
          <w:sz w:val="22"/>
          <w:szCs w:val="22"/>
        </w:rPr>
        <w:t xml:space="preserve">“Colorful Insights from an AI Khipukamayuq”. University of Chicago. Manuscrito presentado el 20 de mayo de 2024 para su inclusión en Symmetry, Repetition, and Pattern Recognition in Andean Khipus (Boundary End Archaeology Research Center). Código y datos de réplica: doi:10.5281/zenodo.11218148. Archivo: colorful-insights-20-May-2024.pdf. — Fuente prioritaria de esta revisión.</w:t>
      </w:r>
    </w:p>
    <w:p>
      <w:pPr>
        <w:pStyle w:val="Heading3"/>
        <w:spacing w:after="120" w:before="240"/>
      </w:pPr>
      <w:r>
        <w:t xml:space="preserve">Medrano, Manuel. [Sin año especificado en la fuente analizada].</w:t>
      </w:r>
    </w:p>
    <w:p>
      <w:pPr>
        <w:spacing w:after="160"/>
        <w:jc w:val="both"/>
      </w:pPr>
      <w:r>
        <w:rPr>
          <w:rFonts w:ascii="Calibri" w:cs="Calibri" w:eastAsia="Calibri" w:hAnsi="Calibri"/>
          <w:sz w:val="22"/>
          <w:szCs w:val="22"/>
        </w:rPr>
        <w:t xml:space="preserve">“Reading Tabular KDB Data” (extracto de un informe técnico sobre los khipus del Landesmuseum/Museum der Kulturen de Basilea y el Lippisches Landesmuseum de Detmold). No especificado en la fuente analizada: título completo del informe, año, ni institución editora. Archivo: Basel Khipu Report_Excerpted.pdf.</w:t>
      </w:r>
    </w:p>
    <w:p>
      <w:pPr>
        <w:pStyle w:val="Heading3"/>
        <w:spacing w:after="120" w:before="240"/>
      </w:pPr>
      <w:r>
        <w:t xml:space="preserve">Medrano, Manuel. 2021.</w:t>
      </w:r>
    </w:p>
    <w:p>
      <w:pPr>
        <w:spacing w:after="160"/>
        <w:jc w:val="both"/>
      </w:pPr>
      <w:r>
        <w:rPr>
          <w:rFonts w:ascii="Calibri" w:cs="Calibri" w:eastAsia="Calibri" w:hAnsi="Calibri"/>
          <w:sz w:val="22"/>
          <w:szCs w:val="22"/>
        </w:rPr>
        <w:t xml:space="preserve">Quipus: Mil años de historia anudada en los Andes y su futuro digital. Lima: Editorial Planeta Perú (colección Perú Breve, dirigida por Alberto Vergara). ISBN 978-612-319-671-4. Primera edición: octubre de 2021. Incluye Anexo (“Inventario global de quipus en museos y colecciones privadas”) y Bibliografía. Archivos: Medrano 2021 - Quipus.pdf (texto completo); 47665_1_QUIPUS-ANEXOS.pdf (anexo); 47664_1_QUIPUS-BIBLIOGRAFIA.pdf (bibliografía).</w:t>
      </w:r>
    </w:p>
    <w:p>
      <w:pPr>
        <w:pStyle w:val="Heading3"/>
        <w:spacing w:after="120" w:before="240"/>
      </w:pPr>
      <w:r>
        <w:t xml:space="preserve">Medrano, Manuel, y Ashok Khosla. 2024.</w:t>
      </w:r>
    </w:p>
    <w:p>
      <w:pPr>
        <w:spacing w:after="160"/>
        <w:jc w:val="both"/>
      </w:pPr>
      <w:r>
        <w:rPr>
          <w:rFonts w:ascii="Calibri" w:cs="Calibri" w:eastAsia="Calibri" w:hAnsi="Calibri"/>
          <w:sz w:val="22"/>
          <w:szCs w:val="22"/>
        </w:rPr>
        <w:t xml:space="preserve">“How Can Data Science Contribute to Understanding the Khipu Code?”. Latin American Antiquity. doi:10.1017/laq.2024.5. Datos y código de réplica: doi:10.5281/zenodo.10472429. Archivo: Medrano_Khosla_2024_KhipusDataScience.pdf.</w:t>
      </w:r>
    </w:p>
    <w:p>
      <w:pPr>
        <w:pStyle w:val="Heading3"/>
        <w:spacing w:after="120" w:before="240"/>
      </w:pPr>
      <w:r>
        <w:t xml:space="preserve">Entidades y bases de datos citadas de forma transversal en el corpus (no son PDFs analizados de forma independiente, se listan por su relevancia infraestructural)</w:t>
      </w:r>
    </w:p>
    <w:p>
      <w:pPr>
        <w:pStyle w:val="ListParagraph"/>
        <w:numPr>
          <w:ilvl w:val="0"/>
          <w:numId w:val="1"/>
        </w:numPr>
        <w:spacing w:after="90"/>
      </w:pPr>
      <w:r>
        <w:rPr>
          <w:rFonts w:ascii="Calibri" w:cs="Calibri" w:eastAsia="Calibri" w:hAnsi="Calibri"/>
          <w:sz w:val="22"/>
          <w:szCs w:val="22"/>
        </w:rPr>
        <w:t xml:space="preserve">OKR Team. 2022. The Open Khipu Repository. Versión v2.0.0. Zenodo. doi:10.5281/zenodo.6908343 (citada en Clindaniel 2024 y Brezine et al. 2024).</w:t>
      </w:r>
    </w:p>
    <w:p>
      <w:pPr>
        <w:pStyle w:val="ListParagraph"/>
        <w:numPr>
          <w:ilvl w:val="0"/>
          <w:numId w:val="1"/>
        </w:numPr>
        <w:spacing w:after="90"/>
      </w:pPr>
      <w:r>
        <w:rPr>
          <w:rFonts w:ascii="Calibri" w:cs="Calibri" w:eastAsia="Calibri" w:hAnsi="Calibri"/>
          <w:sz w:val="22"/>
          <w:szCs w:val="22"/>
        </w:rPr>
        <w:t xml:space="preserve">Open Khipu Research Laboratory. 2022. Código de renombramiento KH####. Zenodo. doi:10.5281/zenodo.6908292 (citado en Brezine et al. 2024).</w:t>
      </w:r>
    </w:p>
    <w:p>
      <w:pPr>
        <w:pStyle w:val="Heading1"/>
        <w:pageBreakBefore/>
        <w:spacing w:after="240" w:before="480"/>
      </w:pPr>
      <w:r>
        <w:t xml:space="preserve">14. Registro de actualizaciones bibliográficas</w:t>
      </w:r>
    </w:p>
    <w:p>
      <w:pPr>
        <w:spacing w:after="160"/>
        <w:jc w:val="both"/>
      </w:pPr>
      <w:r>
        <w:rPr>
          <w:rFonts w:ascii="Calibri" w:cs="Calibri" w:eastAsia="Calibri" w:hAnsi="Calibri"/>
          <w:sz w:val="22"/>
          <w:szCs w:val="22"/>
        </w:rPr>
        <w:t xml:space="preserve">Esta sección se actualiza cada vez que se incorpora una nueva fuente a la carpeta Bibliografía Quipus/. Al agregar una fuente nueva, compárela contra las secciones 6 (hallazgos consolidados) y 7 (debates y preguntas abiertas): indique explícitamente si la confirma, la amplía, la contradice o la deja sin cambios, y añada una fila a la tabla siguiente sin eliminar las filas anteriores. Las conclusiones de las secciones 6, 7 y 10 no deben sobrescribirse automáticamente: deben revisarse manualmente a la luz de cada fuente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700"/>
        <w:gridCol w:w="1700"/>
        <w:gridCol w:w="1700"/>
        <w:gridCol w:w="1660"/>
      </w:tblGrid>
      <w:tr>
        <w:trPr>
          <w:tblHeader/>
        </w:trPr>
        <w:tc>
          <w:tcPr>
            <w:tcW w:type="dxa" w:w="1100"/>
            <w:shd w:fill="2F5496" w:val="clear"/>
            <w:tcMar>
              <w:top w:type="dxa" w:w="60"/>
              <w:left w:type="dxa" w:w="60"/>
              <w:bottom w:type="dxa" w:w="60"/>
              <w:right w:type="dxa" w:w="60"/>
            </w:tcMar>
          </w:tcPr>
          <w:p>
            <w:r>
              <w:rPr>
                <w:rFonts w:ascii="Calibri" w:cs="Calibri" w:eastAsia="Calibri" w:hAnsi="Calibri"/>
                <w:b/>
                <w:bCs/>
                <w:color w:val="FFFFFF"/>
                <w:sz w:val="14"/>
                <w:szCs w:val="14"/>
              </w:rPr>
              <w:t xml:space="preserve">Fecha</w:t>
            </w:r>
          </w:p>
        </w:tc>
        <w:tc>
          <w:tcPr>
            <w:tcW w:type="dxa" w:w="1500"/>
            <w:shd w:fill="2F5496" w:val="clear"/>
            <w:tcMar>
              <w:top w:type="dxa" w:w="60"/>
              <w:left w:type="dxa" w:w="60"/>
              <w:bottom w:type="dxa" w:w="60"/>
              <w:right w:type="dxa" w:w="60"/>
            </w:tcMar>
          </w:tcPr>
          <w:p>
            <w:r>
              <w:rPr>
                <w:rFonts w:ascii="Calibri" w:cs="Calibri" w:eastAsia="Calibri" w:hAnsi="Calibri"/>
                <w:b/>
                <w:bCs/>
                <w:color w:val="FFFFFF"/>
                <w:sz w:val="14"/>
                <w:szCs w:val="14"/>
              </w:rPr>
              <w:t xml:space="preserve">Nueva fuente</w:t>
            </w:r>
          </w:p>
        </w:tc>
        <w:tc>
          <w:tcPr>
            <w:tcW w:type="dxa" w:w="1700"/>
            <w:shd w:fill="2F5496" w:val="clear"/>
            <w:tcMar>
              <w:top w:type="dxa" w:w="60"/>
              <w:left w:type="dxa" w:w="60"/>
              <w:bottom w:type="dxa" w:w="60"/>
              <w:right w:type="dxa" w:w="60"/>
            </w:tcMar>
          </w:tcPr>
          <w:p>
            <w:r>
              <w:rPr>
                <w:rFonts w:ascii="Calibri" w:cs="Calibri" w:eastAsia="Calibri" w:hAnsi="Calibri"/>
                <w:b/>
                <w:bCs/>
                <w:color w:val="FFFFFF"/>
                <w:sz w:val="14"/>
                <w:szCs w:val="14"/>
              </w:rPr>
              <w:t xml:space="preserve">Qué aporta</w:t>
            </w:r>
          </w:p>
        </w:tc>
        <w:tc>
          <w:tcPr>
            <w:tcW w:type="dxa" w:w="1700"/>
            <w:shd w:fill="2F5496" w:val="clear"/>
            <w:tcMar>
              <w:top w:type="dxa" w:w="60"/>
              <w:left w:type="dxa" w:w="60"/>
              <w:bottom w:type="dxa" w:w="60"/>
              <w:right w:type="dxa" w:w="60"/>
            </w:tcMar>
          </w:tcPr>
          <w:p>
            <w:r>
              <w:rPr>
                <w:rFonts w:ascii="Calibri" w:cs="Calibri" w:eastAsia="Calibri" w:hAnsi="Calibri"/>
                <w:b/>
                <w:bCs/>
                <w:color w:val="FFFFFF"/>
                <w:sz w:val="14"/>
                <w:szCs w:val="14"/>
              </w:rPr>
              <w:t xml:space="preserve">Qué confirma</w:t>
            </w:r>
          </w:p>
        </w:tc>
        <w:tc>
          <w:tcPr>
            <w:tcW w:type="dxa" w:w="1700"/>
            <w:shd w:fill="2F5496" w:val="clear"/>
            <w:tcMar>
              <w:top w:type="dxa" w:w="60"/>
              <w:left w:type="dxa" w:w="60"/>
              <w:bottom w:type="dxa" w:w="60"/>
              <w:right w:type="dxa" w:w="60"/>
            </w:tcMar>
          </w:tcPr>
          <w:p>
            <w:r>
              <w:rPr>
                <w:rFonts w:ascii="Calibri" w:cs="Calibri" w:eastAsia="Calibri" w:hAnsi="Calibri"/>
                <w:b/>
                <w:bCs/>
                <w:color w:val="FFFFFF"/>
                <w:sz w:val="14"/>
                <w:szCs w:val="14"/>
              </w:rPr>
              <w:t xml:space="preserve">Qué contradice</w:t>
            </w:r>
          </w:p>
        </w:tc>
        <w:tc>
          <w:tcPr>
            <w:tcW w:type="dxa" w:w="1660"/>
            <w:shd w:fill="2F5496" w:val="clear"/>
            <w:tcMar>
              <w:top w:type="dxa" w:w="60"/>
              <w:left w:type="dxa" w:w="60"/>
              <w:bottom w:type="dxa" w:w="60"/>
              <w:right w:type="dxa" w:w="60"/>
            </w:tcMar>
          </w:tcPr>
          <w:p>
            <w:r>
              <w:rPr>
                <w:rFonts w:ascii="Calibri" w:cs="Calibri" w:eastAsia="Calibri" w:hAnsi="Calibri"/>
                <w:b/>
                <w:bCs/>
                <w:color w:val="FFFFFF"/>
                <w:sz w:val="14"/>
                <w:szCs w:val="14"/>
              </w:rPr>
              <w:t xml:space="preserve">Cambios realizados</w:t>
            </w:r>
          </w:p>
        </w:tc>
      </w:tr>
      <w:tr>
        <w:tc>
          <w:tcPr>
            <w:tcW w:type="dxa" w:w="1100"/>
            <w:tcMar>
              <w:top w:type="dxa" w:w="60"/>
              <w:left w:type="dxa" w:w="60"/>
              <w:bottom w:type="dxa" w:w="60"/>
              <w:right w:type="dxa" w:w="60"/>
            </w:tcMar>
          </w:tcPr>
          <w:p>
            <w:r>
              <w:rPr>
                <w:rFonts w:ascii="Calibri" w:cs="Calibri" w:eastAsia="Calibri" w:hAnsi="Calibri"/>
                <w:sz w:val="14"/>
                <w:szCs w:val="14"/>
              </w:rPr>
              <w:t xml:space="preserve">11 de agosto de 2026</w:t>
            </w:r>
          </w:p>
        </w:tc>
        <w:tc>
          <w:tcPr>
            <w:tcW w:type="dxa" w:w="1500"/>
            <w:tcMar>
              <w:top w:type="dxa" w:w="60"/>
              <w:left w:type="dxa" w:w="60"/>
              <w:bottom w:type="dxa" w:w="60"/>
              <w:right w:type="dxa" w:w="60"/>
            </w:tcMar>
          </w:tcPr>
          <w:p>
            <w:r>
              <w:rPr>
                <w:rFonts w:ascii="Calibri" w:cs="Calibri" w:eastAsia="Calibri" w:hAnsi="Calibri"/>
                <w:sz w:val="14"/>
                <w:szCs w:val="14"/>
              </w:rPr>
              <w:t xml:space="preserve">Primera versión — revisión inicial de los 8 PDFs disponibles en Bibliografía Quipus/</w:t>
            </w:r>
          </w:p>
        </w:tc>
        <w:tc>
          <w:tcPr>
            <w:tcW w:type="dxa" w:w="1700"/>
            <w:tcMar>
              <w:top w:type="dxa" w:w="60"/>
              <w:left w:type="dxa" w:w="60"/>
              <w:bottom w:type="dxa" w:w="60"/>
              <w:right w:type="dxa" w:w="60"/>
            </w:tcMar>
          </w:tcPr>
          <w:p>
            <w:r>
              <w:rPr>
                <w:rFonts w:ascii="Calibri" w:cs="Calibri" w:eastAsia="Calibri" w:hAnsi="Calibri"/>
                <w:sz w:val="14"/>
                <w:szCs w:val="14"/>
              </w:rPr>
              <w:t xml:space="preserve">Síntesis transversal completa; análisis profundo dedicado a Clindaniel (2024); tabla maestra e inventario de las 8 fuentes</w:t>
            </w:r>
          </w:p>
        </w:tc>
        <w:tc>
          <w:tcPr>
            <w:tcW w:type="dxa" w:w="1700"/>
            <w:tcMar>
              <w:top w:type="dxa" w:w="60"/>
              <w:left w:type="dxa" w:w="60"/>
              <w:bottom w:type="dxa" w:w="60"/>
              <w:right w:type="dxa" w:w="60"/>
            </w:tcMar>
          </w:tcPr>
          <w:p>
            <w:r>
              <w:rPr>
                <w:rFonts w:ascii="Calibri" w:cs="Calibri" w:eastAsia="Calibri" w:hAnsi="Calibri"/>
                <w:sz w:val="14"/>
                <w:szCs w:val="14"/>
              </w:rPr>
              <w:t xml:space="preserve">N/A (versión inicial, no hay hallazgos previos que confirmar)</w:t>
            </w:r>
          </w:p>
        </w:tc>
        <w:tc>
          <w:tcPr>
            <w:tcW w:type="dxa" w:w="1700"/>
            <w:tcMar>
              <w:top w:type="dxa" w:w="60"/>
              <w:left w:type="dxa" w:w="60"/>
              <w:bottom w:type="dxa" w:w="60"/>
              <w:right w:type="dxa" w:w="60"/>
            </w:tcMar>
          </w:tcPr>
          <w:p>
            <w:r>
              <w:rPr>
                <w:rFonts w:ascii="Calibri" w:cs="Calibri" w:eastAsia="Calibri" w:hAnsi="Calibri"/>
                <w:sz w:val="14"/>
                <w:szCs w:val="14"/>
              </w:rPr>
              <w:t xml:space="preserve">N/A (versión inicial, no hay hallazgos previos que contradecir)</w:t>
            </w:r>
          </w:p>
        </w:tc>
        <w:tc>
          <w:tcPr>
            <w:tcW w:type="dxa" w:w="1660"/>
            <w:tcMar>
              <w:top w:type="dxa" w:w="60"/>
              <w:left w:type="dxa" w:w="60"/>
              <w:bottom w:type="dxa" w:w="60"/>
              <w:right w:type="dxa" w:w="60"/>
            </w:tcMar>
          </w:tcPr>
          <w:p>
            <w:r>
              <w:rPr>
                <w:rFonts w:ascii="Calibri" w:cs="Calibri" w:eastAsia="Calibri" w:hAnsi="Calibri"/>
                <w:sz w:val="14"/>
                <w:szCs w:val="14"/>
              </w:rPr>
              <w:t xml:space="preserve">Creación del documento completo (secciones 1-14) y del archivo auxiliar de metadatos (Revision_Bibliografica_Quipus_Metadata.xlsx)</w:t>
            </w:r>
          </w:p>
        </w:tc>
      </w:tr>
    </w:tbl>
    <w:p>
      <w:pPr>
        <w:spacing w:after="160"/>
        <w:jc w:val="both"/>
      </w:pPr>
      <w:r>
        <w:rPr>
          <w:rFonts w:ascii="Calibri" w:cs="Calibri" w:eastAsia="Calibri" w:hAnsi="Calibri"/>
          <w:b/>
          <w:bCs/>
          <w:sz w:val="22"/>
          <w:szCs w:val="22"/>
        </w:rPr>
        <w:t xml:space="preserve">Notas para la incorporación de nuevas fuentes:</w:t>
      </w:r>
    </w:p>
    <w:p>
      <w:pPr>
        <w:pStyle w:val="ListParagraph"/>
        <w:numPr>
          <w:ilvl w:val="0"/>
          <w:numId w:val="1"/>
        </w:numPr>
        <w:spacing w:after="90"/>
      </w:pPr>
      <w:r>
        <w:rPr>
          <w:rFonts w:ascii="Calibri" w:cs="Calibri" w:eastAsia="Calibri" w:hAnsi="Calibri"/>
          <w:sz w:val="22"/>
          <w:szCs w:val="22"/>
        </w:rPr>
        <w:t xml:space="preserve">1. Añada la nueva fuente al inventario de la sección 13 y a la tabla maestra de la sección 9, siguiendo exactamente la misma estructura de columnas.</w:t>
      </w:r>
    </w:p>
    <w:p>
      <w:pPr>
        <w:pStyle w:val="ListParagraph"/>
        <w:numPr>
          <w:ilvl w:val="0"/>
          <w:numId w:val="1"/>
        </w:numPr>
        <w:spacing w:after="90"/>
      </w:pPr>
      <w:r>
        <w:rPr>
          <w:rFonts w:ascii="Calibri" w:cs="Calibri" w:eastAsia="Calibri" w:hAnsi="Calibri"/>
          <w:sz w:val="22"/>
          <w:szCs w:val="22"/>
        </w:rPr>
        <w:t xml:space="preserve">2. Léala completa (no solo resumen/abstract) y produzca una ficha de extracción estructurada equivalente a las usadas para preparar este documento, conservada como apoyo (no es necesario incluirla íntegra en el cuerpo del documento).</w:t>
      </w:r>
    </w:p>
    <w:p>
      <w:pPr>
        <w:pStyle w:val="ListParagraph"/>
        <w:numPr>
          <w:ilvl w:val="0"/>
          <w:numId w:val="1"/>
        </w:numPr>
        <w:spacing w:after="90"/>
      </w:pPr>
      <w:r>
        <w:rPr>
          <w:rFonts w:ascii="Calibri" w:cs="Calibri" w:eastAsia="Calibri" w:hAnsi="Calibri"/>
          <w:sz w:val="22"/>
          <w:szCs w:val="22"/>
        </w:rPr>
        <w:t xml:space="preserve">3. Revise si la nueva fuente confirma, matiza o contradice algún punto de las secciones 6 y 7; si contradice algo, documente ambas posiciones explícitamente, como se hizo en la sección 7.1 con el debate sobre el color blanco.</w:t>
      </w:r>
    </w:p>
    <w:p>
      <w:pPr>
        <w:pStyle w:val="ListParagraph"/>
        <w:numPr>
          <w:ilvl w:val="0"/>
          <w:numId w:val="1"/>
        </w:numPr>
        <w:spacing w:after="90"/>
      </w:pPr>
      <w:r>
        <w:rPr>
          <w:rFonts w:ascii="Calibri" w:cs="Calibri" w:eastAsia="Calibri" w:hAnsi="Calibri"/>
          <w:sz w:val="22"/>
          <w:szCs w:val="22"/>
        </w:rPr>
        <w:t xml:space="preserve">4. Añada una fila nueva a la tabla de esta sección 14, sin eliminar las anteriores, para mantener la trazabilidad histórica de cómo ha evolucionado la revisión.</w:t>
      </w: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Revisión Bibliográfica Quipus — 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Revisión Bibliográfica Quipus — 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Revisión Bibliográfica Quipus — 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480"/>
    </w:pPr>
    <w:rPr>
      <w:rFonts w:ascii="Calibri" w:cs="Calibri" w:eastAsia="Calibri" w:hAnsi="Calibri"/>
      <w:b/>
      <w:bCs/>
      <w:color w:val="1F3864"/>
      <w:sz w:val="32"/>
      <w:szCs w:val="32"/>
    </w:rPr>
  </w:style>
  <w:style w:type="paragraph" w:styleId="Heading2">
    <w:name w:val="Heading 2"/>
    <w:basedOn w:val="Normal"/>
    <w:next w:val="Normal"/>
    <w:qFormat/>
    <w:pPr>
      <w:keepNext/>
      <w:spacing w:after="160" w:before="340"/>
    </w:pPr>
    <w:rPr>
      <w:rFonts w:ascii="Calibri" w:cs="Calibri" w:eastAsia="Calibri" w:hAnsi="Calibri"/>
      <w:b/>
      <w:bCs/>
      <w:color w:val="2F5496"/>
      <w:sz w:val="26"/>
      <w:szCs w:val="26"/>
    </w:rPr>
  </w:style>
  <w:style w:type="paragraph" w:styleId="Heading3">
    <w:name w:val="Heading 3"/>
    <w:basedOn w:val="Normal"/>
    <w:next w:val="Normal"/>
    <w:qFormat/>
    <w:pPr>
      <w:keepNext/>
      <w:spacing w:after="120" w:before="240"/>
    </w:pPr>
    <w:rPr>
      <w:rFonts w:ascii="Calibri" w:cs="Calibri" w:eastAsia="Calibri" w:hAnsi="Calibri"/>
      <w:b/>
      <w:bCs/>
      <w:i/>
      <w:iCs/>
      <w:color w:val="2F5496"/>
      <w:sz w:val="23"/>
      <w:szCs w:val="23"/>
    </w:rPr>
  </w:style>
  <w:style w:type="paragraph" w:styleId="Heading4">
    <w:name w:val="Heading 4"/>
    <w:basedOn w:val="Normal"/>
    <w:next w:val="Normal"/>
    <w:qFormat/>
    <w:pPr>
      <w:keepNext/>
      <w:spacing w:after="100" w:before="200"/>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2026-08-11T17:00:17.091Z</dcterms:created>
  <dcterms:modified xsi:type="dcterms:W3CDTF">2026-08-11T17:00:17.095Z</dcterms:modified>
</cp:coreProperties>
</file>

<file path=docProps/custom.xml><?xml version="1.0" encoding="utf-8"?>
<Properties xmlns="http://schemas.openxmlformats.org/officeDocument/2006/custom-properties" xmlns:vt="http://schemas.openxmlformats.org/officeDocument/2006/docPropsVTypes"/>
</file>