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Description</w:t>
      </w:r>
    </w:p>
    <w:p>
      <w:r>
        <w:t>This solar project started on 2023-03-15 in Kenya. The crediting period is 2023-2033.</w:t>
      </w:r>
    </w:p>
    <w:p>
      <w:pPr>
        <w:pStyle w:val="Heading1"/>
      </w:pPr>
      <w:r>
        <w:t>Monitoring Period</w:t>
      </w:r>
    </w:p>
    <w:p>
      <w:r>
        <w:t>From 1 January 2024 to 31 December 2024.</w:t>
      </w:r>
    </w:p>
    <w:p>
      <w:pPr>
        <w:pStyle w:val="Heading1"/>
      </w:pPr>
      <w:r>
        <w:t>Baseline Emissions</w:t>
      </w:r>
    </w:p>
    <w:p>
      <w:r>
        <w:t>12,450 tCO2e from diesel generators.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