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A3876">
      <w:pPr>
        <w:widowControl/>
        <w:spacing w:before="100" w:beforeAutospacing="1" w:after="100" w:afterAutospacing="1" w:line="276" w:lineRule="auto"/>
        <w:ind w:firstLine="480"/>
        <w:jc w:val="center"/>
        <w:rPr>
          <w:rFonts w:ascii="Arial" w:hAnsi="Arial" w:cs="Arial"/>
          <w:b/>
          <w:kern w:val="0"/>
          <w:sz w:val="48"/>
          <w:szCs w:val="18"/>
          <w:lang w:bidi="en-US"/>
        </w:rPr>
      </w:pPr>
    </w:p>
    <w:p w14:paraId="63B212DA">
      <w:pPr>
        <w:widowControl/>
        <w:spacing w:before="100" w:beforeAutospacing="1" w:after="100" w:afterAutospacing="1" w:line="276" w:lineRule="auto"/>
        <w:ind w:firstLine="480"/>
        <w:jc w:val="center"/>
        <w:rPr>
          <w:rFonts w:ascii="Arial" w:hAnsi="Arial" w:cs="Arial"/>
          <w:kern w:val="0"/>
          <w:sz w:val="32"/>
          <w:szCs w:val="18"/>
          <w:lang w:bidi="en-US"/>
        </w:rPr>
      </w:pPr>
      <w:r>
        <w:rPr>
          <w:rFonts w:ascii="Arial" w:hAnsi="Arial" w:cs="Arial"/>
          <w:kern w:val="0"/>
          <w:sz w:val="32"/>
          <w:szCs w:val="18"/>
        </w:rPr>
        <w:drawing>
          <wp:inline distT="0" distB="0" distL="0" distR="0">
            <wp:extent cx="1685925" cy="1695450"/>
            <wp:effectExtent l="0" t="0" r="9525" b="0"/>
            <wp:docPr id="1" name="图片 1" descr="黑大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黑大校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85925" cy="1695450"/>
                    </a:xfrm>
                    <a:prstGeom prst="rect">
                      <a:avLst/>
                    </a:prstGeom>
                    <a:noFill/>
                    <a:ln>
                      <a:noFill/>
                    </a:ln>
                  </pic:spPr>
                </pic:pic>
              </a:graphicData>
            </a:graphic>
          </wp:inline>
        </w:drawing>
      </w:r>
    </w:p>
    <w:p w14:paraId="7A8292D7">
      <w:pPr>
        <w:widowControl/>
        <w:spacing w:before="100" w:beforeAutospacing="1" w:after="100" w:afterAutospacing="1" w:line="276" w:lineRule="auto"/>
        <w:ind w:firstLine="480"/>
        <w:jc w:val="center"/>
        <w:rPr>
          <w:rFonts w:ascii="Arial" w:hAnsi="Arial" w:cs="Arial"/>
          <w:kern w:val="0"/>
          <w:sz w:val="32"/>
          <w:szCs w:val="18"/>
          <w:lang w:bidi="en-US"/>
        </w:rPr>
      </w:pPr>
    </w:p>
    <w:p w14:paraId="61759A3B">
      <w:pPr>
        <w:widowControl/>
        <w:spacing w:before="100" w:beforeAutospacing="1" w:after="100" w:afterAutospacing="1" w:line="276" w:lineRule="auto"/>
        <w:ind w:firstLine="480"/>
        <w:jc w:val="center"/>
        <w:rPr>
          <w:rFonts w:ascii="Arial" w:hAnsi="Arial" w:cs="Arial"/>
          <w:kern w:val="0"/>
          <w:sz w:val="32"/>
          <w:szCs w:val="18"/>
          <w:lang w:bidi="en-US"/>
        </w:rPr>
      </w:pPr>
      <w:r>
        <w:rPr>
          <w:rFonts w:hint="eastAsia" w:ascii="Arial" w:hAnsi="Arial" w:cs="Arial"/>
          <w:b/>
          <w:kern w:val="0"/>
          <w:sz w:val="44"/>
          <w:szCs w:val="44"/>
          <w:lang w:val="en-US" w:eastAsia="zh-CN" w:bidi="en-US"/>
        </w:rPr>
        <w:t>创新工程实践作业报告</w:t>
      </w:r>
    </w:p>
    <w:p w14:paraId="1F9EFD70">
      <w:pPr>
        <w:widowControl/>
        <w:spacing w:before="100" w:beforeAutospacing="1" w:after="100" w:afterAutospacing="1" w:line="276" w:lineRule="auto"/>
        <w:ind w:left="705" w:leftChars="371" w:firstLine="1773"/>
        <w:rPr>
          <w:rFonts w:ascii="Segoe UI" w:hAnsi="Segoe UI" w:eastAsia="微软雅黑"/>
          <w:b w:val="0"/>
          <w:bCs/>
          <w:i w:val="0"/>
          <w:sz w:val="24"/>
        </w:rPr>
      </w:pPr>
    </w:p>
    <w:p w14:paraId="4E6DBEB0">
      <w:pPr>
        <w:widowControl/>
        <w:spacing w:before="100" w:beforeAutospacing="1" w:after="100" w:afterAutospacing="1" w:line="276" w:lineRule="auto"/>
        <w:ind w:left="2100" w:leftChars="0" w:firstLine="420" w:firstLineChars="0"/>
        <w:rPr>
          <w:rFonts w:ascii="Arial" w:hAnsi="Arial" w:cs="Arial"/>
          <w:b w:val="0"/>
          <w:bCs/>
          <w:kern w:val="0"/>
          <w:sz w:val="18"/>
          <w:szCs w:val="18"/>
          <w:lang w:bidi="en-US"/>
        </w:rPr>
      </w:pPr>
      <w:r>
        <w:rPr>
          <w:rFonts w:ascii="Segoe UI" w:hAnsi="Segoe UI" w:eastAsia="微软雅黑"/>
          <w:b w:val="0"/>
          <w:bCs/>
          <w:i w:val="0"/>
          <w:sz w:val="24"/>
        </w:rPr>
        <w:t>项目名称：AI陪伴式运动打卡与健康数据监测系统</w:t>
      </w:r>
    </w:p>
    <w:p w14:paraId="25E5E9F2">
      <w:pPr>
        <w:widowControl/>
        <w:spacing w:before="100" w:beforeAutospacing="1" w:after="100" w:afterAutospacing="1" w:line="276" w:lineRule="auto"/>
        <w:ind w:left="570" w:leftChars="300" w:firstLine="1922"/>
        <w:rPr>
          <w:rFonts w:hint="default" w:ascii="Arial" w:hAnsi="Arial" w:eastAsia="微软雅黑" w:cs="Arial"/>
          <w:b w:val="0"/>
          <w:bCs/>
          <w:kern w:val="0"/>
          <w:sz w:val="24"/>
          <w:szCs w:val="24"/>
          <w:lang w:val="en-US" w:eastAsia="zh-CN" w:bidi="en-US"/>
        </w:rPr>
      </w:pPr>
      <w:r>
        <w:rPr>
          <w:rFonts w:ascii="Segoe UI" w:hAnsi="Segoe UI" w:eastAsia="微软雅黑"/>
          <w:b w:val="0"/>
          <w:bCs/>
          <w:i w:val="0"/>
          <w:sz w:val="24"/>
        </w:rPr>
        <w:t>小组名称：</w:t>
      </w:r>
      <w:r>
        <w:rPr>
          <w:rFonts w:hint="eastAsia" w:ascii="Segoe UI" w:hAnsi="Segoe UI" w:eastAsia="微软雅黑"/>
          <w:b w:val="0"/>
          <w:bCs/>
          <w:i w:val="0"/>
          <w:sz w:val="24"/>
          <w:lang w:val="en-US" w:eastAsia="zh-CN"/>
        </w:rPr>
        <w:t>创新小组</w:t>
      </w:r>
    </w:p>
    <w:p w14:paraId="15A8DCE6">
      <w:pPr>
        <w:widowControl/>
        <w:spacing w:before="100" w:beforeAutospacing="1" w:after="100" w:afterAutospacing="1" w:line="276" w:lineRule="auto"/>
        <w:ind w:left="570" w:leftChars="300" w:firstLine="1922"/>
        <w:rPr>
          <w:rFonts w:hint="eastAsia" w:ascii="Arial" w:hAnsi="Arial" w:cs="Arial"/>
          <w:kern w:val="0"/>
          <w:sz w:val="24"/>
          <w:szCs w:val="24"/>
          <w:lang w:eastAsia="zh-CN" w:bidi="en-US"/>
        </w:rPr>
      </w:pPr>
      <w:r>
        <w:rPr>
          <w:rFonts w:ascii="Segoe UI" w:hAnsi="Segoe UI" w:eastAsia="微软雅黑"/>
          <w:b w:val="0"/>
          <w:i w:val="0"/>
          <w:sz w:val="21"/>
          <w:szCs w:val="21"/>
        </w:rPr>
        <w:t>团队组员（姓名、学号）（电子）：</w:t>
      </w:r>
    </w:p>
    <w:p w14:paraId="0B746800">
      <w:pPr>
        <w:widowControl/>
        <w:spacing w:before="100" w:beforeAutospacing="1" w:after="100" w:afterAutospacing="1" w:line="276" w:lineRule="auto"/>
        <w:ind w:left="570" w:leftChars="300" w:firstLine="1922"/>
        <w:rPr>
          <w:rFonts w:hint="eastAsia" w:ascii="Arial" w:hAnsi="Arial" w:cs="Arial"/>
          <w:kern w:val="0"/>
          <w:sz w:val="24"/>
          <w:szCs w:val="24"/>
          <w:lang w:eastAsia="zh-CN" w:bidi="en-US"/>
        </w:rPr>
      </w:pPr>
    </w:p>
    <w:p w14:paraId="1536B638">
      <w:pPr>
        <w:widowControl/>
        <w:spacing w:before="100" w:beforeAutospacing="1" w:after="100" w:afterAutospacing="1" w:line="276" w:lineRule="auto"/>
        <w:ind w:left="570" w:leftChars="300" w:firstLine="1922"/>
        <w:rPr>
          <w:rFonts w:ascii="Segoe UI" w:hAnsi="Segoe UI" w:eastAsia="微软雅黑"/>
          <w:b w:val="0"/>
          <w:i w:val="0"/>
          <w:sz w:val="21"/>
        </w:rPr>
      </w:pPr>
      <w:r>
        <w:rPr>
          <w:rFonts w:ascii="Segoe UI" w:hAnsi="Segoe UI" w:eastAsia="微软雅黑"/>
          <w:b w:val="0"/>
          <w:i w:val="0"/>
          <w:sz w:val="21"/>
        </w:rPr>
        <w:t>团队组员（姓名、学号）（手签）：</w:t>
      </w:r>
    </w:p>
    <w:p w14:paraId="33F6D8B4">
      <w:pPr>
        <w:widowControl/>
        <w:spacing w:before="100" w:beforeAutospacing="1" w:after="100" w:afterAutospacing="1" w:line="276" w:lineRule="auto"/>
        <w:ind w:left="570" w:leftChars="300" w:firstLine="1922"/>
        <w:rPr>
          <w:rFonts w:ascii="Segoe UI" w:hAnsi="Segoe UI" w:eastAsia="微软雅黑"/>
          <w:b w:val="0"/>
          <w:i w:val="0"/>
          <w:sz w:val="21"/>
        </w:rPr>
      </w:pPr>
    </w:p>
    <w:p w14:paraId="6317A181">
      <w:pPr>
        <w:widowControl/>
        <w:spacing w:before="100" w:beforeAutospacing="1" w:after="100" w:afterAutospacing="1" w:line="276" w:lineRule="auto"/>
        <w:ind w:left="570" w:leftChars="300" w:firstLine="1922"/>
        <w:rPr>
          <w:rFonts w:hint="eastAsia" w:ascii="Segoe UI" w:hAnsi="Segoe UI" w:eastAsia="微软雅黑"/>
          <w:b w:val="0"/>
          <w:i w:val="0"/>
          <w:sz w:val="21"/>
          <w:lang w:eastAsia="zh-CN"/>
        </w:rPr>
      </w:pPr>
    </w:p>
    <w:p w14:paraId="1D687F0C">
      <w:pPr>
        <w:widowControl/>
        <w:spacing w:before="100" w:beforeAutospacing="1" w:after="100" w:afterAutospacing="1" w:line="276" w:lineRule="auto"/>
        <w:ind w:left="570" w:leftChars="300" w:firstLine="1922"/>
        <w:rPr>
          <w:rFonts w:ascii="Arial" w:hAnsi="Arial" w:cs="Arial"/>
          <w:kern w:val="0"/>
          <w:sz w:val="18"/>
          <w:szCs w:val="18"/>
          <w:lang w:bidi="en-US"/>
        </w:rPr>
      </w:pPr>
      <w:r>
        <w:rPr>
          <w:rFonts w:hint="eastAsia" w:ascii="Arial" w:hAnsi="Arial" w:cs="Arial"/>
          <w:kern w:val="0"/>
          <w:sz w:val="24"/>
          <w:szCs w:val="24"/>
          <w:lang w:bidi="en-US"/>
        </w:rPr>
        <w:t>指导老师</w:t>
      </w:r>
      <w:r>
        <w:rPr>
          <w:rFonts w:hint="eastAsia" w:ascii="Arial" w:hAnsi="Arial" w:cs="Arial"/>
          <w:kern w:val="0"/>
          <w:sz w:val="18"/>
          <w:szCs w:val="18"/>
          <w:lang w:bidi="en-US"/>
        </w:rPr>
        <w:t>：</w:t>
      </w:r>
      <w:r>
        <w:rPr>
          <w:rFonts w:ascii="Arial" w:hAnsi="Arial" w:cs="Arial"/>
          <w:kern w:val="0"/>
          <w:sz w:val="18"/>
          <w:szCs w:val="18"/>
          <w:lang w:bidi="en-US"/>
        </w:rPr>
        <w:t>___</w:t>
      </w:r>
      <w:r>
        <w:rPr>
          <w:rFonts w:ascii="宋体" w:hAnsi="宋体" w:cs="Arial"/>
          <w:kern w:val="0"/>
          <w:sz w:val="24"/>
          <w:szCs w:val="24"/>
          <w:u w:val="single"/>
          <w:lang w:bidi="en-US"/>
        </w:rPr>
        <w:t xml:space="preserve">朱勇 </w:t>
      </w:r>
      <w:r>
        <w:rPr>
          <w:rFonts w:ascii="Arial" w:hAnsi="Arial" w:cs="Arial"/>
          <w:kern w:val="0"/>
          <w:sz w:val="18"/>
          <w:szCs w:val="18"/>
          <w:lang w:bidi="en-US"/>
        </w:rPr>
        <w:t>_________________</w:t>
      </w:r>
    </w:p>
    <w:p w14:paraId="2EF97ECD">
      <w:pPr>
        <w:widowControl/>
        <w:spacing w:before="100" w:beforeAutospacing="1" w:after="100" w:afterAutospacing="1" w:line="276" w:lineRule="auto"/>
        <w:ind w:left="570" w:leftChars="300" w:firstLine="1922"/>
      </w:pPr>
      <w:r>
        <w:rPr>
          <w:rFonts w:ascii="Segoe UI" w:hAnsi="Segoe UI" w:eastAsia="微软雅黑"/>
          <w:b w:val="0"/>
          <w:i w:val="0"/>
          <w:sz w:val="24"/>
        </w:rPr>
        <w:t>日      期：  2026年6月8日</w:t>
      </w:r>
    </w:p>
    <w:p w14:paraId="09AA239D">
      <w:pPr>
        <w:rPr>
          <w:rFonts w:hint="eastAsia" w:ascii="黑体" w:hAnsi="Times New Roman" w:eastAsia="黑体"/>
          <w:sz w:val="36"/>
          <w:szCs w:val="20"/>
        </w:rPr>
      </w:pPr>
      <w:r>
        <w:rPr>
          <w:rFonts w:hint="eastAsia" w:ascii="黑体" w:hAnsi="Times New Roman" w:eastAsia="黑体"/>
          <w:sz w:val="36"/>
          <w:szCs w:val="20"/>
        </w:rPr>
        <w:br w:type="page"/>
      </w:r>
    </w:p>
    <w:p w14:paraId="1C3175DD">
      <w:pPr>
        <w:spacing w:line="360" w:lineRule="auto"/>
        <w:jc w:val="center"/>
        <w:rPr>
          <w:rFonts w:ascii="黑体" w:hAnsi="Times New Roman" w:eastAsia="黑体"/>
          <w:sz w:val="36"/>
          <w:szCs w:val="20"/>
        </w:rPr>
      </w:pPr>
      <w:r>
        <w:rPr>
          <w:rFonts w:hint="eastAsia" w:ascii="黑体" w:hAnsi="Times New Roman" w:eastAsia="黑体"/>
          <w:sz w:val="36"/>
          <w:szCs w:val="20"/>
        </w:rPr>
        <w:t>目录</w:t>
      </w:r>
    </w:p>
    <w:p w14:paraId="6DB93BA1">
      <w:pPr>
        <w:spacing w:line="360" w:lineRule="auto"/>
        <w:rPr>
          <w:rFonts w:ascii="Times New Roman" w:hAnsi="Times New Roman"/>
          <w:sz w:val="24"/>
          <w:szCs w:val="20"/>
        </w:rPr>
      </w:pPr>
    </w:p>
    <w:p w14:paraId="46A4C168">
      <w:pPr>
        <w:tabs>
          <w:tab w:val="right" w:leader="dot" w:pos="9015"/>
        </w:tabs>
        <w:spacing w:line="360" w:lineRule="auto"/>
        <w:rPr>
          <w:rFonts w:ascii="Times New Roman" w:hAnsi="Times New Roman" w:eastAsia="黑体"/>
          <w:sz w:val="24"/>
          <w:szCs w:val="24"/>
        </w:rPr>
      </w:pPr>
      <w:r>
        <w:rPr>
          <w:rFonts w:ascii="Times New Roman" w:hAnsi="Times New Roman" w:eastAsia="黑体"/>
          <w:sz w:val="24"/>
          <w:szCs w:val="24"/>
        </w:rPr>
        <w:fldChar w:fldCharType="begin"/>
      </w:r>
      <w:r>
        <w:rPr>
          <w:rFonts w:ascii="Times New Roman" w:hAnsi="Times New Roman" w:eastAsia="黑体"/>
          <w:sz w:val="24"/>
          <w:szCs w:val="24"/>
        </w:rPr>
        <w:instrText xml:space="preserve"> TOC \o "1-3" \h \z \u </w:instrText>
      </w:r>
      <w:r>
        <w:rPr>
          <w:rFonts w:ascii="Times New Roman" w:hAnsi="Times New Roman" w:eastAsia="黑体"/>
          <w:sz w:val="24"/>
          <w:szCs w:val="24"/>
        </w:rPr>
        <w:fldChar w:fldCharType="separate"/>
      </w:r>
      <w:r>
        <w:fldChar w:fldCharType="begin"/>
      </w:r>
      <w:r>
        <w:instrText xml:space="preserve"> HYPERLINK \l "_Toc1591" </w:instrText>
      </w:r>
      <w:r>
        <w:fldChar w:fldCharType="separate"/>
      </w:r>
      <w:r>
        <w:rPr>
          <w:rFonts w:hint="eastAsia" w:ascii="黑体" w:hAnsi="Times New Roman" w:eastAsia="黑体"/>
          <w:sz w:val="24"/>
          <w:szCs w:val="24"/>
        </w:rPr>
        <w:t>第一章 产品</w:t>
      </w:r>
      <w:r>
        <w:rPr>
          <w:rFonts w:hint="eastAsia" w:ascii="黑体" w:hAnsi="Times New Roman" w:eastAsia="黑体"/>
          <w:sz w:val="24"/>
          <w:szCs w:val="24"/>
          <w:lang w:val="en-US" w:eastAsia="zh-CN"/>
        </w:rPr>
        <w:t>背景和意义</w:t>
      </w:r>
      <w:r>
        <w:rPr>
          <w:rFonts w:ascii="Times New Roman" w:hAnsi="Times New Roman" w:eastAsia="黑体"/>
          <w:sz w:val="24"/>
          <w:szCs w:val="24"/>
        </w:rPr>
        <w:tab/>
      </w:r>
      <w:r>
        <w:rPr>
          <w:rFonts w:ascii="Times New Roman" w:hAnsi="Times New Roman" w:eastAsia="黑体"/>
          <w:sz w:val="24"/>
          <w:szCs w:val="24"/>
        </w:rPr>
        <w:fldChar w:fldCharType="end"/>
      </w:r>
    </w:p>
    <w:p w14:paraId="251C24AC">
      <w:pPr>
        <w:tabs>
          <w:tab w:val="right" w:leader="dot" w:pos="9015"/>
        </w:tabs>
        <w:spacing w:line="360" w:lineRule="auto"/>
        <w:rPr>
          <w:rFonts w:ascii="Times New Roman" w:hAnsi="Times New Roman" w:eastAsia="黑体"/>
          <w:sz w:val="24"/>
          <w:szCs w:val="24"/>
        </w:rPr>
      </w:pPr>
      <w:r>
        <w:fldChar w:fldCharType="begin"/>
      </w:r>
      <w:r>
        <w:instrText xml:space="preserve"> HYPERLINK \l "_Toc6049" </w:instrText>
      </w:r>
      <w:r>
        <w:fldChar w:fldCharType="separate"/>
      </w:r>
      <w:r>
        <w:rPr>
          <w:rFonts w:hint="eastAsia" w:ascii="黑体" w:hAnsi="Times New Roman" w:eastAsia="黑体"/>
          <w:sz w:val="24"/>
          <w:szCs w:val="24"/>
        </w:rPr>
        <w:t xml:space="preserve">第二章 </w:t>
      </w:r>
      <w:r>
        <w:rPr>
          <w:rFonts w:hint="eastAsia" w:ascii="黑体" w:hAnsi="Times New Roman" w:eastAsia="黑体"/>
          <w:sz w:val="24"/>
          <w:szCs w:val="24"/>
          <w:lang w:val="en-US" w:eastAsia="zh-CN"/>
        </w:rPr>
        <w:t>功能介绍</w:t>
      </w:r>
      <w:r>
        <w:rPr>
          <w:rFonts w:ascii="Times New Roman" w:hAnsi="Times New Roman" w:eastAsia="黑体"/>
          <w:sz w:val="24"/>
          <w:szCs w:val="24"/>
        </w:rPr>
        <w:tab/>
      </w:r>
      <w:r>
        <w:rPr>
          <w:rFonts w:ascii="Times New Roman" w:hAnsi="Times New Roman" w:eastAsia="黑体"/>
          <w:sz w:val="24"/>
          <w:szCs w:val="24"/>
        </w:rPr>
        <w:fldChar w:fldCharType="end"/>
      </w:r>
    </w:p>
    <w:p w14:paraId="0B886769">
      <w:pPr>
        <w:tabs>
          <w:tab w:val="right" w:leader="dot" w:pos="9015"/>
        </w:tabs>
        <w:spacing w:line="360" w:lineRule="auto"/>
        <w:rPr>
          <w:rFonts w:ascii="Times New Roman" w:hAnsi="Times New Roman" w:eastAsia="黑体"/>
          <w:sz w:val="24"/>
          <w:szCs w:val="24"/>
        </w:rPr>
      </w:pPr>
      <w:r>
        <w:fldChar w:fldCharType="begin"/>
      </w:r>
      <w:r>
        <w:instrText xml:space="preserve"> HYPERLINK \l "_Toc6049" </w:instrText>
      </w:r>
      <w:r>
        <w:fldChar w:fldCharType="separate"/>
      </w:r>
      <w:r>
        <w:rPr>
          <w:rFonts w:hint="eastAsia" w:ascii="黑体" w:hAnsi="Times New Roman" w:eastAsia="黑体"/>
          <w:sz w:val="24"/>
          <w:szCs w:val="24"/>
        </w:rPr>
        <w:t>第</w:t>
      </w:r>
      <w:r>
        <w:rPr>
          <w:rFonts w:hint="eastAsia" w:ascii="黑体" w:hAnsi="Times New Roman" w:eastAsia="黑体"/>
          <w:sz w:val="24"/>
          <w:szCs w:val="24"/>
          <w:lang w:val="en-US" w:eastAsia="zh-CN"/>
        </w:rPr>
        <w:t>三</w:t>
      </w:r>
      <w:r>
        <w:rPr>
          <w:rFonts w:hint="eastAsia" w:ascii="黑体" w:hAnsi="Times New Roman" w:eastAsia="黑体"/>
          <w:sz w:val="24"/>
          <w:szCs w:val="24"/>
        </w:rPr>
        <w:t xml:space="preserve">章 </w:t>
      </w:r>
      <w:r>
        <w:rPr>
          <w:rFonts w:hint="eastAsia" w:ascii="黑体" w:hAnsi="Times New Roman" w:eastAsia="黑体"/>
          <w:sz w:val="24"/>
          <w:szCs w:val="24"/>
          <w:lang w:val="en-US" w:eastAsia="zh-CN"/>
        </w:rPr>
        <w:t>创新性分析</w:t>
      </w:r>
      <w:r>
        <w:rPr>
          <w:rFonts w:ascii="Times New Roman" w:hAnsi="Times New Roman" w:eastAsia="黑体"/>
          <w:sz w:val="24"/>
          <w:szCs w:val="24"/>
        </w:rPr>
        <w:tab/>
      </w:r>
      <w:r>
        <w:rPr>
          <w:rFonts w:ascii="Times New Roman" w:hAnsi="Times New Roman" w:eastAsia="黑体"/>
          <w:sz w:val="24"/>
          <w:szCs w:val="24"/>
        </w:rPr>
        <w:fldChar w:fldCharType="end"/>
      </w:r>
    </w:p>
    <w:p w14:paraId="37D6BC7F">
      <w:pPr>
        <w:tabs>
          <w:tab w:val="right" w:leader="dot" w:pos="9015"/>
        </w:tabs>
        <w:spacing w:line="360" w:lineRule="auto"/>
        <w:rPr>
          <w:rFonts w:ascii="Times New Roman" w:hAnsi="Times New Roman" w:eastAsia="黑体"/>
          <w:sz w:val="24"/>
          <w:szCs w:val="24"/>
        </w:rPr>
      </w:pPr>
      <w:r>
        <w:fldChar w:fldCharType="begin"/>
      </w:r>
      <w:r>
        <w:instrText xml:space="preserve"> HYPERLINK \l "_Toc19412" </w:instrText>
      </w:r>
      <w:r>
        <w:fldChar w:fldCharType="separate"/>
      </w:r>
      <w:r>
        <w:rPr>
          <w:rFonts w:hint="eastAsia" w:ascii="黑体" w:hAnsi="Times New Roman" w:eastAsia="黑体"/>
          <w:sz w:val="24"/>
          <w:szCs w:val="24"/>
        </w:rPr>
        <w:t>第</w:t>
      </w:r>
      <w:r>
        <w:rPr>
          <w:rFonts w:hint="eastAsia" w:ascii="黑体" w:hAnsi="Times New Roman" w:eastAsia="黑体"/>
          <w:sz w:val="24"/>
          <w:szCs w:val="24"/>
          <w:lang w:val="en-US" w:eastAsia="zh-CN"/>
        </w:rPr>
        <w:t>四</w:t>
      </w:r>
      <w:r>
        <w:rPr>
          <w:rFonts w:hint="eastAsia" w:ascii="黑体" w:hAnsi="Times New Roman" w:eastAsia="黑体"/>
          <w:sz w:val="24"/>
          <w:szCs w:val="24"/>
        </w:rPr>
        <w:t xml:space="preserve">章 </w:t>
      </w:r>
      <w:r>
        <w:rPr>
          <w:rFonts w:hint="eastAsia" w:ascii="黑体" w:hAnsi="Times New Roman" w:eastAsia="黑体"/>
          <w:sz w:val="24"/>
          <w:szCs w:val="24"/>
          <w:lang w:val="en-US" w:eastAsia="zh-CN"/>
        </w:rPr>
        <w:t>商业模式分析</w:t>
      </w:r>
      <w:r>
        <w:rPr>
          <w:rFonts w:ascii="Times New Roman" w:hAnsi="Times New Roman" w:eastAsia="黑体"/>
          <w:sz w:val="24"/>
          <w:szCs w:val="24"/>
        </w:rPr>
        <w:tab/>
      </w:r>
      <w:r>
        <w:rPr>
          <w:rFonts w:ascii="Times New Roman" w:hAnsi="Times New Roman" w:eastAsia="黑体"/>
          <w:sz w:val="24"/>
          <w:szCs w:val="24"/>
        </w:rPr>
        <w:fldChar w:fldCharType="end"/>
      </w:r>
    </w:p>
    <w:p w14:paraId="116D6980">
      <w:pPr>
        <w:tabs>
          <w:tab w:val="right" w:leader="dot" w:pos="9015"/>
        </w:tabs>
        <w:spacing w:line="360" w:lineRule="auto"/>
        <w:rPr>
          <w:rFonts w:ascii="Times New Roman" w:hAnsi="Times New Roman" w:eastAsia="黑体"/>
          <w:sz w:val="24"/>
          <w:szCs w:val="24"/>
        </w:rPr>
      </w:pPr>
      <w:r>
        <w:fldChar w:fldCharType="begin"/>
      </w:r>
      <w:r>
        <w:instrText xml:space="preserve"> HYPERLINK \l "_Toc17564" </w:instrText>
      </w:r>
      <w:r>
        <w:fldChar w:fldCharType="separate"/>
      </w:r>
      <w:r>
        <w:rPr>
          <w:rFonts w:hint="eastAsia" w:ascii="黑体" w:hAnsi="Times New Roman" w:eastAsia="黑体"/>
          <w:sz w:val="24"/>
          <w:szCs w:val="24"/>
        </w:rPr>
        <w:t>第</w:t>
      </w:r>
      <w:r>
        <w:rPr>
          <w:rFonts w:hint="eastAsia" w:ascii="黑体" w:hAnsi="Times New Roman" w:eastAsia="黑体"/>
          <w:sz w:val="24"/>
          <w:szCs w:val="24"/>
          <w:lang w:val="en-US" w:eastAsia="zh-CN"/>
        </w:rPr>
        <w:t>五</w:t>
      </w:r>
      <w:r>
        <w:rPr>
          <w:rFonts w:hint="eastAsia" w:ascii="黑体" w:hAnsi="Times New Roman" w:eastAsia="黑体"/>
          <w:sz w:val="24"/>
          <w:szCs w:val="24"/>
        </w:rPr>
        <w:t xml:space="preserve">章 </w:t>
      </w:r>
      <w:r>
        <w:rPr>
          <w:rFonts w:hint="eastAsia" w:ascii="黑体" w:hAnsi="Times New Roman" w:eastAsia="黑体"/>
          <w:sz w:val="24"/>
          <w:szCs w:val="24"/>
          <w:lang w:val="en-US" w:eastAsia="zh-CN"/>
        </w:rPr>
        <w:t>用户体验</w:t>
      </w:r>
      <w:r>
        <w:rPr>
          <w:rFonts w:ascii="Times New Roman" w:hAnsi="Times New Roman" w:eastAsia="黑体"/>
          <w:sz w:val="24"/>
          <w:szCs w:val="24"/>
        </w:rPr>
        <w:tab/>
      </w:r>
      <w:r>
        <w:rPr>
          <w:rFonts w:ascii="Times New Roman" w:hAnsi="Times New Roman" w:eastAsia="黑体"/>
          <w:sz w:val="24"/>
          <w:szCs w:val="24"/>
        </w:rPr>
        <w:fldChar w:fldCharType="end"/>
      </w:r>
    </w:p>
    <w:p w14:paraId="3789C367">
      <w:pPr>
        <w:tabs>
          <w:tab w:val="right" w:leader="dot" w:pos="9015"/>
        </w:tabs>
        <w:spacing w:line="360" w:lineRule="auto"/>
        <w:rPr>
          <w:rFonts w:ascii="Times New Roman" w:hAnsi="Times New Roman" w:eastAsia="黑体"/>
          <w:sz w:val="24"/>
          <w:szCs w:val="24"/>
        </w:rPr>
      </w:pPr>
      <w:r>
        <w:fldChar w:fldCharType="begin"/>
      </w:r>
      <w:r>
        <w:instrText xml:space="preserve"> HYPERLINK \l "_Toc17564" </w:instrText>
      </w:r>
      <w:r>
        <w:fldChar w:fldCharType="separate"/>
      </w:r>
      <w:r>
        <w:rPr>
          <w:rFonts w:hint="eastAsia" w:ascii="黑体" w:hAnsi="Times New Roman" w:eastAsia="黑体"/>
          <w:sz w:val="24"/>
          <w:szCs w:val="24"/>
        </w:rPr>
        <w:t>第</w:t>
      </w:r>
      <w:r>
        <w:rPr>
          <w:rFonts w:hint="eastAsia" w:ascii="黑体" w:hAnsi="Times New Roman" w:eastAsia="黑体"/>
          <w:sz w:val="24"/>
          <w:szCs w:val="24"/>
          <w:lang w:val="en-US" w:eastAsia="zh-CN"/>
        </w:rPr>
        <w:t>六</w:t>
      </w:r>
      <w:r>
        <w:rPr>
          <w:rFonts w:hint="eastAsia" w:ascii="黑体" w:hAnsi="Times New Roman" w:eastAsia="黑体"/>
          <w:sz w:val="24"/>
          <w:szCs w:val="24"/>
        </w:rPr>
        <w:t xml:space="preserve">章 </w:t>
      </w:r>
      <w:r>
        <w:rPr>
          <w:rFonts w:hint="eastAsia" w:ascii="黑体" w:hAnsi="Times New Roman" w:eastAsia="黑体"/>
          <w:sz w:val="24"/>
          <w:szCs w:val="24"/>
          <w:lang w:val="en-US" w:eastAsia="zh-CN"/>
        </w:rPr>
        <w:t>游戏化</w:t>
      </w:r>
      <w:r>
        <w:rPr>
          <w:rFonts w:ascii="Times New Roman" w:hAnsi="Times New Roman" w:eastAsia="黑体"/>
          <w:sz w:val="24"/>
          <w:szCs w:val="24"/>
        </w:rPr>
        <w:tab/>
      </w:r>
      <w:r>
        <w:rPr>
          <w:rFonts w:ascii="Times New Roman" w:hAnsi="Times New Roman" w:eastAsia="黑体"/>
          <w:sz w:val="24"/>
          <w:szCs w:val="24"/>
        </w:rPr>
        <w:fldChar w:fldCharType="end"/>
      </w:r>
    </w:p>
    <w:p w14:paraId="214E8BB0">
      <w:pPr>
        <w:tabs>
          <w:tab w:val="right" w:leader="dot" w:pos="9015"/>
        </w:tabs>
        <w:spacing w:line="360" w:lineRule="auto"/>
        <w:rPr>
          <w:rFonts w:ascii="Times New Roman" w:hAnsi="Times New Roman" w:eastAsia="黑体"/>
          <w:sz w:val="24"/>
          <w:szCs w:val="24"/>
        </w:rPr>
      </w:pPr>
      <w:r>
        <w:fldChar w:fldCharType="begin"/>
      </w:r>
      <w:r>
        <w:instrText xml:space="preserve"> HYPERLINK \l "_Toc17564" </w:instrText>
      </w:r>
      <w:r>
        <w:fldChar w:fldCharType="separate"/>
      </w:r>
      <w:r>
        <w:rPr>
          <w:rFonts w:hint="eastAsia" w:ascii="黑体" w:hAnsi="Times New Roman" w:eastAsia="黑体"/>
          <w:sz w:val="24"/>
          <w:szCs w:val="24"/>
        </w:rPr>
        <w:t>第</w:t>
      </w:r>
      <w:r>
        <w:rPr>
          <w:rFonts w:hint="eastAsia" w:ascii="黑体" w:hAnsi="Times New Roman" w:eastAsia="黑体"/>
          <w:sz w:val="24"/>
          <w:szCs w:val="24"/>
          <w:lang w:val="en-US" w:eastAsia="zh-CN"/>
        </w:rPr>
        <w:t>七</w:t>
      </w:r>
      <w:r>
        <w:rPr>
          <w:rFonts w:hint="eastAsia" w:ascii="黑体" w:hAnsi="Times New Roman" w:eastAsia="黑体"/>
          <w:sz w:val="24"/>
          <w:szCs w:val="24"/>
        </w:rPr>
        <w:t xml:space="preserve">章 </w:t>
      </w:r>
      <w:r>
        <w:rPr>
          <w:rFonts w:hint="eastAsia" w:ascii="黑体" w:hAnsi="Times New Roman" w:eastAsia="黑体"/>
          <w:sz w:val="24"/>
          <w:szCs w:val="24"/>
          <w:lang w:val="en-US" w:eastAsia="zh-CN"/>
        </w:rPr>
        <w:t>产品的设计实现</w:t>
      </w:r>
      <w:r>
        <w:rPr>
          <w:rFonts w:ascii="Times New Roman" w:hAnsi="Times New Roman" w:eastAsia="黑体"/>
          <w:sz w:val="24"/>
          <w:szCs w:val="24"/>
        </w:rPr>
        <w:tab/>
      </w:r>
      <w:r>
        <w:rPr>
          <w:rFonts w:ascii="Times New Roman" w:hAnsi="Times New Roman" w:eastAsia="黑体"/>
          <w:sz w:val="24"/>
          <w:szCs w:val="24"/>
        </w:rPr>
        <w:fldChar w:fldCharType="end"/>
      </w:r>
    </w:p>
    <w:p w14:paraId="63DC918C">
      <w:pPr>
        <w:tabs>
          <w:tab w:val="right" w:leader="dot" w:pos="9015"/>
        </w:tabs>
        <w:spacing w:line="360" w:lineRule="auto"/>
        <w:rPr>
          <w:rFonts w:ascii="Times New Roman" w:hAnsi="Times New Roman" w:eastAsia="黑体"/>
          <w:sz w:val="24"/>
          <w:szCs w:val="24"/>
        </w:rPr>
      </w:pPr>
      <w:r>
        <w:fldChar w:fldCharType="begin"/>
      </w:r>
      <w:r>
        <w:instrText xml:space="preserve"> HYPERLINK \l "_Toc17564" </w:instrText>
      </w:r>
      <w:r>
        <w:fldChar w:fldCharType="separate"/>
      </w:r>
      <w:r>
        <w:rPr>
          <w:rFonts w:hint="eastAsia" w:ascii="黑体" w:hAnsi="Times New Roman" w:eastAsia="黑体"/>
          <w:sz w:val="24"/>
          <w:szCs w:val="24"/>
        </w:rPr>
        <w:t>第</w:t>
      </w:r>
      <w:r>
        <w:rPr>
          <w:rFonts w:hint="eastAsia" w:ascii="黑体" w:hAnsi="Times New Roman" w:eastAsia="黑体"/>
          <w:sz w:val="24"/>
          <w:szCs w:val="24"/>
          <w:lang w:val="en-US" w:eastAsia="zh-CN"/>
        </w:rPr>
        <w:t>八</w:t>
      </w:r>
      <w:r>
        <w:rPr>
          <w:rFonts w:hint="eastAsia" w:ascii="黑体" w:hAnsi="Times New Roman" w:eastAsia="黑体"/>
          <w:sz w:val="24"/>
          <w:szCs w:val="24"/>
        </w:rPr>
        <w:t xml:space="preserve">章 </w:t>
      </w:r>
      <w:r>
        <w:rPr>
          <w:rFonts w:hint="eastAsia" w:ascii="黑体" w:hAnsi="Times New Roman" w:eastAsia="黑体"/>
          <w:sz w:val="24"/>
          <w:szCs w:val="24"/>
          <w:lang w:val="en-US" w:eastAsia="zh-CN"/>
        </w:rPr>
        <w:t>市场推演分析</w:t>
      </w:r>
      <w:r>
        <w:rPr>
          <w:rFonts w:ascii="Times New Roman" w:hAnsi="Times New Roman" w:eastAsia="黑体"/>
          <w:sz w:val="24"/>
          <w:szCs w:val="24"/>
        </w:rPr>
        <w:tab/>
      </w:r>
      <w:r>
        <w:rPr>
          <w:rFonts w:ascii="Times New Roman" w:hAnsi="Times New Roman" w:eastAsia="黑体"/>
          <w:sz w:val="24"/>
          <w:szCs w:val="24"/>
        </w:rPr>
        <w:fldChar w:fldCharType="end"/>
      </w:r>
    </w:p>
    <w:p w14:paraId="08970704">
      <w:pPr>
        <w:tabs>
          <w:tab w:val="right" w:leader="dot" w:pos="9015"/>
        </w:tabs>
        <w:spacing w:line="360" w:lineRule="auto"/>
        <w:rPr>
          <w:rFonts w:ascii="Times New Roman" w:hAnsi="Times New Roman" w:eastAsia="黑体"/>
          <w:sz w:val="24"/>
          <w:szCs w:val="24"/>
        </w:rPr>
      </w:pPr>
    </w:p>
    <w:p w14:paraId="7254E291">
      <w:pPr>
        <w:tabs>
          <w:tab w:val="right" w:leader="dot" w:pos="9015"/>
        </w:tabs>
        <w:spacing w:line="360" w:lineRule="auto"/>
        <w:rPr>
          <w:rFonts w:ascii="Times New Roman" w:hAnsi="Times New Roman" w:eastAsia="黑体"/>
          <w:sz w:val="24"/>
          <w:szCs w:val="24"/>
        </w:rPr>
      </w:pPr>
    </w:p>
    <w:tbl>
      <w:tblPr>
        <w:tblStyle w:val="14"/>
        <w:tblpPr w:leftFromText="180" w:rightFromText="180" w:vertAnchor="text" w:horzAnchor="page" w:tblpX="1620" w:tblpY="56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7"/>
        <w:gridCol w:w="2308"/>
        <w:gridCol w:w="2308"/>
        <w:gridCol w:w="2308"/>
      </w:tblGrid>
      <w:tr w14:paraId="579E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shd w:val="clear" w:color="auto" w:fill="F2F2F2"/>
            <w:tcMar>
              <w:top w:w="120" w:type="dxa"/>
              <w:left w:w="150" w:type="dxa"/>
              <w:bottom w:w="120" w:type="dxa"/>
              <w:right w:w="150" w:type="dxa"/>
            </w:tcMar>
          </w:tcPr>
          <w:p w14:paraId="4449D710">
            <w:pPr>
              <w:spacing w:line="360" w:lineRule="auto"/>
              <w:jc w:val="both"/>
              <w:rPr>
                <w:bCs/>
                <w:kern w:val="0"/>
                <w:sz w:val="24"/>
                <w:szCs w:val="36"/>
              </w:rPr>
            </w:pPr>
            <w:r>
              <w:rPr>
                <w:rFonts w:ascii="Times New Roman" w:hAnsi="Times New Roman" w:eastAsia="黑体"/>
                <w:sz w:val="24"/>
                <w:szCs w:val="24"/>
              </w:rPr>
              <w:fldChar w:fldCharType="end"/>
            </w:r>
            <w:r>
              <w:rPr>
                <w:rFonts w:hint="eastAsia" w:ascii="Times New Roman" w:hAnsi="Times New Roman" w:eastAsia="微软雅黑"/>
                <w:b/>
                <w:bCs/>
                <w:i w:val="0"/>
                <w:kern w:val="0"/>
                <w:sz w:val="21"/>
                <w:szCs w:val="36"/>
              </w:rPr>
              <w:t>姓名</w:t>
            </w:r>
          </w:p>
        </w:tc>
        <w:tc>
          <w:tcPr>
            <w:tcW w:w="2308" w:type="dxa"/>
            <w:shd w:val="clear" w:color="auto" w:fill="F2F2F2"/>
            <w:tcMar>
              <w:top w:w="120" w:type="dxa"/>
              <w:left w:w="150" w:type="dxa"/>
              <w:bottom w:w="120" w:type="dxa"/>
              <w:right w:w="150" w:type="dxa"/>
            </w:tcMar>
          </w:tcPr>
          <w:p w14:paraId="48CC9A0D">
            <w:pPr>
              <w:spacing w:line="360" w:lineRule="auto"/>
              <w:jc w:val="center"/>
              <w:rPr>
                <w:bCs/>
                <w:kern w:val="0"/>
                <w:sz w:val="24"/>
                <w:szCs w:val="36"/>
              </w:rPr>
            </w:pPr>
            <w:r>
              <w:rPr>
                <w:rFonts w:hint="eastAsia" w:ascii="Times New Roman" w:hAnsi="Times New Roman" w:eastAsia="微软雅黑"/>
                <w:b/>
                <w:bCs/>
                <w:i w:val="0"/>
                <w:kern w:val="0"/>
                <w:sz w:val="21"/>
                <w:szCs w:val="36"/>
              </w:rPr>
              <w:t>负责部分</w:t>
            </w:r>
          </w:p>
        </w:tc>
        <w:tc>
          <w:tcPr>
            <w:tcW w:w="2308" w:type="dxa"/>
            <w:shd w:val="clear" w:color="auto" w:fill="F2F2F2"/>
            <w:tcMar>
              <w:top w:w="120" w:type="dxa"/>
              <w:left w:w="150" w:type="dxa"/>
              <w:bottom w:w="120" w:type="dxa"/>
              <w:right w:w="150" w:type="dxa"/>
            </w:tcMar>
          </w:tcPr>
          <w:p w14:paraId="1C1DC74D">
            <w:pPr>
              <w:spacing w:line="360" w:lineRule="auto"/>
              <w:jc w:val="center"/>
              <w:rPr>
                <w:bCs/>
                <w:kern w:val="0"/>
                <w:sz w:val="24"/>
                <w:szCs w:val="36"/>
              </w:rPr>
            </w:pPr>
            <w:r>
              <w:rPr>
                <w:rFonts w:hint="eastAsia" w:ascii="Times New Roman" w:hAnsi="Times New Roman" w:eastAsia="微软雅黑"/>
                <w:b/>
                <w:bCs/>
                <w:i w:val="0"/>
                <w:kern w:val="0"/>
                <w:sz w:val="21"/>
                <w:szCs w:val="36"/>
              </w:rPr>
              <w:t>字数</w:t>
            </w:r>
          </w:p>
        </w:tc>
        <w:tc>
          <w:tcPr>
            <w:tcW w:w="2308" w:type="dxa"/>
            <w:shd w:val="clear" w:color="auto" w:fill="F2F2F2"/>
            <w:tcMar>
              <w:top w:w="120" w:type="dxa"/>
              <w:left w:w="150" w:type="dxa"/>
              <w:bottom w:w="120" w:type="dxa"/>
              <w:right w:w="150" w:type="dxa"/>
            </w:tcMar>
          </w:tcPr>
          <w:p w14:paraId="52143930">
            <w:pPr>
              <w:spacing w:line="360" w:lineRule="auto"/>
              <w:jc w:val="center"/>
              <w:rPr>
                <w:bCs/>
                <w:kern w:val="0"/>
                <w:sz w:val="24"/>
                <w:szCs w:val="36"/>
              </w:rPr>
            </w:pPr>
            <w:r>
              <w:rPr>
                <w:rFonts w:hint="eastAsia" w:ascii="Times New Roman" w:hAnsi="Times New Roman" w:eastAsia="微软雅黑"/>
                <w:b/>
                <w:bCs/>
                <w:i w:val="0"/>
                <w:kern w:val="0"/>
                <w:sz w:val="21"/>
                <w:szCs w:val="36"/>
              </w:rPr>
              <w:t>章节</w:t>
            </w:r>
          </w:p>
        </w:tc>
      </w:tr>
      <w:tr w14:paraId="7C11B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tcMar>
              <w:top w:w="100" w:type="dxa"/>
              <w:left w:w="150" w:type="dxa"/>
              <w:bottom w:w="100" w:type="dxa"/>
              <w:right w:w="150" w:type="dxa"/>
            </w:tcMar>
          </w:tcPr>
          <w:p w14:paraId="49C0E378">
            <w:pPr>
              <w:jc w:val="center"/>
            </w:pPr>
            <w:r>
              <w:rPr>
                <w:rFonts w:ascii="Times New Roman" w:hAnsi="Times New Roman" w:eastAsia="宋体"/>
                <w:b w:val="0"/>
                <w:i w:val="0"/>
                <w:sz w:val="20"/>
              </w:rPr>
              <w:t>张伟</w:t>
            </w:r>
          </w:p>
        </w:tc>
        <w:tc>
          <w:tcPr>
            <w:tcW w:w="2308" w:type="dxa"/>
            <w:tcMar>
              <w:top w:w="100" w:type="dxa"/>
              <w:left w:w="150" w:type="dxa"/>
              <w:bottom w:w="100" w:type="dxa"/>
              <w:right w:w="150" w:type="dxa"/>
            </w:tcMar>
          </w:tcPr>
          <w:p w14:paraId="6A5AE8F9">
            <w:pPr>
              <w:jc w:val="left"/>
            </w:pPr>
            <w:r>
              <w:rPr>
                <w:rFonts w:ascii="Times New Roman" w:hAnsi="Times New Roman" w:eastAsia="宋体"/>
                <w:b w:val="0"/>
                <w:i w:val="0"/>
                <w:sz w:val="20"/>
              </w:rPr>
              <w:t>简介、策划与游戏化</w:t>
            </w:r>
          </w:p>
        </w:tc>
        <w:tc>
          <w:tcPr>
            <w:tcW w:w="2308" w:type="dxa"/>
            <w:tcMar>
              <w:top w:w="100" w:type="dxa"/>
              <w:left w:w="150" w:type="dxa"/>
              <w:bottom w:w="100" w:type="dxa"/>
              <w:right w:w="150" w:type="dxa"/>
            </w:tcMar>
          </w:tcPr>
          <w:p w14:paraId="36BB449C">
            <w:pPr>
              <w:jc w:val="center"/>
            </w:pPr>
            <w:r>
              <w:rPr>
                <w:rFonts w:ascii="Times New Roman" w:hAnsi="Times New Roman" w:eastAsia="宋体"/>
                <w:b w:val="0"/>
                <w:i w:val="0"/>
                <w:sz w:val="20"/>
              </w:rPr>
              <w:t>2500</w:t>
            </w:r>
          </w:p>
        </w:tc>
        <w:tc>
          <w:tcPr>
            <w:tcW w:w="2308" w:type="dxa"/>
            <w:tcMar>
              <w:top w:w="100" w:type="dxa"/>
              <w:left w:w="150" w:type="dxa"/>
              <w:bottom w:w="100" w:type="dxa"/>
              <w:right w:w="150" w:type="dxa"/>
            </w:tcMar>
          </w:tcPr>
          <w:p w14:paraId="6402FF4E">
            <w:pPr>
              <w:jc w:val="center"/>
            </w:pPr>
            <w:r>
              <w:rPr>
                <w:rFonts w:ascii="Times New Roman" w:hAnsi="Times New Roman" w:eastAsia="宋体"/>
                <w:b w:val="0"/>
                <w:i w:val="0"/>
                <w:sz w:val="20"/>
              </w:rPr>
              <w:t>第一、二、六章</w:t>
            </w:r>
          </w:p>
        </w:tc>
      </w:tr>
      <w:tr w14:paraId="51CD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tcMar>
              <w:top w:w="100" w:type="dxa"/>
              <w:left w:w="150" w:type="dxa"/>
              <w:bottom w:w="100" w:type="dxa"/>
              <w:right w:w="150" w:type="dxa"/>
            </w:tcMar>
          </w:tcPr>
          <w:p w14:paraId="680BFAD9">
            <w:pPr>
              <w:jc w:val="center"/>
            </w:pPr>
            <w:r>
              <w:rPr>
                <w:rFonts w:ascii="Times New Roman" w:hAnsi="Times New Roman" w:eastAsia="宋体"/>
                <w:b w:val="0"/>
                <w:i w:val="0"/>
                <w:sz w:val="20"/>
              </w:rPr>
              <w:t>李华</w:t>
            </w:r>
          </w:p>
        </w:tc>
        <w:tc>
          <w:tcPr>
            <w:tcW w:w="2308" w:type="dxa"/>
            <w:tcMar>
              <w:top w:w="100" w:type="dxa"/>
              <w:left w:w="150" w:type="dxa"/>
              <w:bottom w:w="100" w:type="dxa"/>
              <w:right w:w="150" w:type="dxa"/>
            </w:tcMar>
          </w:tcPr>
          <w:p w14:paraId="5AD3CD17">
            <w:pPr>
              <w:jc w:val="left"/>
            </w:pPr>
            <w:r>
              <w:rPr>
                <w:rFonts w:ascii="Times New Roman" w:hAnsi="Times New Roman" w:eastAsia="宋体"/>
                <w:b w:val="0"/>
                <w:i w:val="0"/>
                <w:sz w:val="20"/>
              </w:rPr>
              <w:t>商业模式与用户体验</w:t>
            </w:r>
          </w:p>
        </w:tc>
        <w:tc>
          <w:tcPr>
            <w:tcW w:w="2308" w:type="dxa"/>
            <w:tcMar>
              <w:top w:w="100" w:type="dxa"/>
              <w:left w:w="150" w:type="dxa"/>
              <w:bottom w:w="100" w:type="dxa"/>
              <w:right w:w="150" w:type="dxa"/>
            </w:tcMar>
          </w:tcPr>
          <w:p w14:paraId="6043DBB5">
            <w:pPr>
              <w:jc w:val="center"/>
            </w:pPr>
            <w:r>
              <w:rPr>
                <w:rFonts w:ascii="Times New Roman" w:hAnsi="Times New Roman" w:eastAsia="宋体"/>
                <w:b w:val="0"/>
                <w:i w:val="0"/>
                <w:sz w:val="20"/>
              </w:rPr>
              <w:t>2200</w:t>
            </w:r>
          </w:p>
        </w:tc>
        <w:tc>
          <w:tcPr>
            <w:tcW w:w="2308" w:type="dxa"/>
            <w:tcMar>
              <w:top w:w="100" w:type="dxa"/>
              <w:left w:w="150" w:type="dxa"/>
              <w:bottom w:w="100" w:type="dxa"/>
              <w:right w:w="150" w:type="dxa"/>
            </w:tcMar>
          </w:tcPr>
          <w:p w14:paraId="0C9D14D6">
            <w:pPr>
              <w:jc w:val="center"/>
            </w:pPr>
            <w:r>
              <w:rPr>
                <w:rFonts w:ascii="Times New Roman" w:hAnsi="Times New Roman" w:eastAsia="宋体"/>
                <w:b w:val="0"/>
                <w:i w:val="0"/>
                <w:sz w:val="20"/>
              </w:rPr>
              <w:t>第四、五章</w:t>
            </w:r>
          </w:p>
        </w:tc>
      </w:tr>
      <w:tr w14:paraId="2796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tcMar>
              <w:top w:w="100" w:type="dxa"/>
              <w:left w:w="150" w:type="dxa"/>
              <w:bottom w:w="100" w:type="dxa"/>
              <w:right w:w="150" w:type="dxa"/>
            </w:tcMar>
          </w:tcPr>
          <w:p w14:paraId="55C1CACB">
            <w:pPr>
              <w:jc w:val="center"/>
            </w:pPr>
            <w:r>
              <w:rPr>
                <w:rFonts w:ascii="Times New Roman" w:hAnsi="Times New Roman" w:eastAsia="宋体"/>
                <w:b w:val="0"/>
                <w:i w:val="0"/>
                <w:sz w:val="20"/>
              </w:rPr>
              <w:t>王芳</w:t>
            </w:r>
          </w:p>
        </w:tc>
        <w:tc>
          <w:tcPr>
            <w:tcW w:w="2308" w:type="dxa"/>
            <w:tcMar>
              <w:top w:w="100" w:type="dxa"/>
              <w:left w:w="150" w:type="dxa"/>
              <w:bottom w:w="100" w:type="dxa"/>
              <w:right w:w="150" w:type="dxa"/>
            </w:tcMar>
          </w:tcPr>
          <w:p w14:paraId="7D8AE100">
            <w:pPr>
              <w:jc w:val="left"/>
            </w:pPr>
            <w:r>
              <w:rPr>
                <w:rFonts w:ascii="Times New Roman" w:hAnsi="Times New Roman" w:eastAsia="宋体"/>
                <w:b w:val="0"/>
                <w:i w:val="0"/>
                <w:sz w:val="20"/>
              </w:rPr>
              <w:t>市场分析与算法创新</w:t>
            </w:r>
          </w:p>
        </w:tc>
        <w:tc>
          <w:tcPr>
            <w:tcW w:w="2308" w:type="dxa"/>
            <w:tcMar>
              <w:top w:w="100" w:type="dxa"/>
              <w:left w:w="150" w:type="dxa"/>
              <w:bottom w:w="100" w:type="dxa"/>
              <w:right w:w="150" w:type="dxa"/>
            </w:tcMar>
          </w:tcPr>
          <w:p w14:paraId="51388845">
            <w:pPr>
              <w:jc w:val="center"/>
            </w:pPr>
            <w:r>
              <w:rPr>
                <w:rFonts w:ascii="Times New Roman" w:hAnsi="Times New Roman" w:eastAsia="宋体"/>
                <w:b w:val="0"/>
                <w:i w:val="0"/>
                <w:sz w:val="20"/>
              </w:rPr>
              <w:t>2000</w:t>
            </w:r>
          </w:p>
        </w:tc>
        <w:tc>
          <w:tcPr>
            <w:tcW w:w="2308" w:type="dxa"/>
            <w:tcMar>
              <w:top w:w="100" w:type="dxa"/>
              <w:left w:w="150" w:type="dxa"/>
              <w:bottom w:w="100" w:type="dxa"/>
              <w:right w:w="150" w:type="dxa"/>
            </w:tcMar>
          </w:tcPr>
          <w:p w14:paraId="6B92BFA9">
            <w:pPr>
              <w:jc w:val="center"/>
            </w:pPr>
            <w:r>
              <w:rPr>
                <w:rFonts w:ascii="Times New Roman" w:hAnsi="Times New Roman" w:eastAsia="宋体"/>
                <w:b w:val="0"/>
                <w:i w:val="0"/>
                <w:sz w:val="20"/>
              </w:rPr>
              <w:t>第三、八章</w:t>
            </w:r>
          </w:p>
        </w:tc>
      </w:tr>
      <w:tr w14:paraId="0998C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tcMar>
              <w:top w:w="100" w:type="dxa"/>
              <w:left w:w="150" w:type="dxa"/>
              <w:bottom w:w="100" w:type="dxa"/>
              <w:right w:w="150" w:type="dxa"/>
            </w:tcMar>
          </w:tcPr>
          <w:p w14:paraId="1FB18E30">
            <w:pPr>
              <w:jc w:val="center"/>
            </w:pPr>
            <w:r>
              <w:rPr>
                <w:rFonts w:ascii="Times New Roman" w:hAnsi="Times New Roman" w:eastAsia="宋体"/>
                <w:b w:val="0"/>
                <w:i w:val="0"/>
                <w:sz w:val="20"/>
              </w:rPr>
              <w:t>赵雷</w:t>
            </w:r>
          </w:p>
        </w:tc>
        <w:tc>
          <w:tcPr>
            <w:tcW w:w="2308" w:type="dxa"/>
            <w:tcMar>
              <w:top w:w="100" w:type="dxa"/>
              <w:left w:w="150" w:type="dxa"/>
              <w:bottom w:w="100" w:type="dxa"/>
              <w:right w:w="150" w:type="dxa"/>
            </w:tcMar>
          </w:tcPr>
          <w:p w14:paraId="7B23C0BE">
            <w:pPr>
              <w:jc w:val="left"/>
            </w:pPr>
            <w:r>
              <w:rPr>
                <w:rFonts w:ascii="Times New Roman" w:hAnsi="Times New Roman" w:eastAsia="宋体"/>
                <w:b w:val="0"/>
                <w:i w:val="0"/>
                <w:sz w:val="20"/>
              </w:rPr>
              <w:t>技术开发与接口适配</w:t>
            </w:r>
          </w:p>
        </w:tc>
        <w:tc>
          <w:tcPr>
            <w:tcW w:w="2308" w:type="dxa"/>
            <w:tcMar>
              <w:top w:w="100" w:type="dxa"/>
              <w:left w:w="150" w:type="dxa"/>
              <w:bottom w:w="100" w:type="dxa"/>
              <w:right w:w="150" w:type="dxa"/>
            </w:tcMar>
          </w:tcPr>
          <w:p w14:paraId="66CBAF88">
            <w:pPr>
              <w:jc w:val="center"/>
            </w:pPr>
            <w:r>
              <w:rPr>
                <w:rFonts w:ascii="Times New Roman" w:hAnsi="Times New Roman" w:eastAsia="宋体"/>
                <w:b w:val="0"/>
                <w:i w:val="0"/>
                <w:sz w:val="20"/>
              </w:rPr>
              <w:t>2300</w:t>
            </w:r>
          </w:p>
        </w:tc>
        <w:tc>
          <w:tcPr>
            <w:tcW w:w="2308" w:type="dxa"/>
            <w:tcMar>
              <w:top w:w="100" w:type="dxa"/>
              <w:left w:w="150" w:type="dxa"/>
              <w:bottom w:w="100" w:type="dxa"/>
              <w:right w:w="150" w:type="dxa"/>
            </w:tcMar>
          </w:tcPr>
          <w:p w14:paraId="489D0E8E">
            <w:pPr>
              <w:jc w:val="center"/>
            </w:pPr>
            <w:r>
              <w:rPr>
                <w:rFonts w:ascii="Times New Roman" w:hAnsi="Times New Roman" w:eastAsia="宋体"/>
                <w:b w:val="0"/>
                <w:i w:val="0"/>
                <w:sz w:val="20"/>
              </w:rPr>
              <w:t>第七章</w:t>
            </w:r>
          </w:p>
        </w:tc>
      </w:tr>
      <w:tr w14:paraId="51C51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tcMar>
              <w:top w:w="100" w:type="dxa"/>
              <w:left w:w="150" w:type="dxa"/>
              <w:bottom w:w="100" w:type="dxa"/>
              <w:right w:w="150" w:type="dxa"/>
            </w:tcMar>
          </w:tcPr>
          <w:p w14:paraId="03839680">
            <w:pPr>
              <w:jc w:val="center"/>
              <w:rPr>
                <w:rFonts w:ascii="Times New Roman" w:hAnsi="Times New Roman" w:eastAsia="宋体"/>
                <w:b w:val="0"/>
                <w:i w:val="0"/>
                <w:sz w:val="20"/>
              </w:rPr>
            </w:pPr>
          </w:p>
        </w:tc>
        <w:tc>
          <w:tcPr>
            <w:tcW w:w="2308" w:type="dxa"/>
            <w:tcMar>
              <w:top w:w="100" w:type="dxa"/>
              <w:left w:w="150" w:type="dxa"/>
              <w:bottom w:w="100" w:type="dxa"/>
              <w:right w:w="150" w:type="dxa"/>
            </w:tcMar>
          </w:tcPr>
          <w:p w14:paraId="2F9CDB81">
            <w:pPr>
              <w:jc w:val="left"/>
              <w:rPr>
                <w:rFonts w:ascii="Times New Roman" w:hAnsi="Times New Roman" w:eastAsia="宋体"/>
                <w:b w:val="0"/>
                <w:i w:val="0"/>
                <w:sz w:val="20"/>
              </w:rPr>
            </w:pPr>
          </w:p>
        </w:tc>
        <w:tc>
          <w:tcPr>
            <w:tcW w:w="2308" w:type="dxa"/>
            <w:tcMar>
              <w:top w:w="100" w:type="dxa"/>
              <w:left w:w="150" w:type="dxa"/>
              <w:bottom w:w="100" w:type="dxa"/>
              <w:right w:w="150" w:type="dxa"/>
            </w:tcMar>
          </w:tcPr>
          <w:p w14:paraId="458C2559">
            <w:pPr>
              <w:jc w:val="center"/>
              <w:rPr>
                <w:rFonts w:ascii="Times New Roman" w:hAnsi="Times New Roman" w:eastAsia="宋体"/>
                <w:b w:val="0"/>
                <w:i w:val="0"/>
                <w:sz w:val="20"/>
              </w:rPr>
            </w:pPr>
          </w:p>
        </w:tc>
        <w:tc>
          <w:tcPr>
            <w:tcW w:w="2308" w:type="dxa"/>
            <w:tcMar>
              <w:top w:w="100" w:type="dxa"/>
              <w:left w:w="150" w:type="dxa"/>
              <w:bottom w:w="100" w:type="dxa"/>
              <w:right w:w="150" w:type="dxa"/>
            </w:tcMar>
          </w:tcPr>
          <w:p w14:paraId="72330B40">
            <w:pPr>
              <w:jc w:val="center"/>
              <w:rPr>
                <w:rFonts w:ascii="Times New Roman" w:hAnsi="Times New Roman" w:eastAsia="宋体"/>
                <w:b w:val="0"/>
                <w:i w:val="0"/>
                <w:sz w:val="20"/>
              </w:rPr>
            </w:pPr>
          </w:p>
        </w:tc>
      </w:tr>
      <w:tr w14:paraId="557D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tcMar>
              <w:top w:w="100" w:type="dxa"/>
              <w:left w:w="150" w:type="dxa"/>
              <w:bottom w:w="100" w:type="dxa"/>
              <w:right w:w="150" w:type="dxa"/>
            </w:tcMar>
          </w:tcPr>
          <w:p w14:paraId="39E4DC12">
            <w:pPr>
              <w:jc w:val="center"/>
              <w:rPr>
                <w:rFonts w:ascii="Times New Roman" w:hAnsi="Times New Roman" w:eastAsia="宋体"/>
                <w:b w:val="0"/>
                <w:i w:val="0"/>
                <w:sz w:val="20"/>
              </w:rPr>
            </w:pPr>
          </w:p>
        </w:tc>
        <w:tc>
          <w:tcPr>
            <w:tcW w:w="2308" w:type="dxa"/>
            <w:tcMar>
              <w:top w:w="100" w:type="dxa"/>
              <w:left w:w="150" w:type="dxa"/>
              <w:bottom w:w="100" w:type="dxa"/>
              <w:right w:w="150" w:type="dxa"/>
            </w:tcMar>
          </w:tcPr>
          <w:p w14:paraId="2FA85DCA">
            <w:pPr>
              <w:jc w:val="left"/>
              <w:rPr>
                <w:rFonts w:ascii="Times New Roman" w:hAnsi="Times New Roman" w:eastAsia="宋体"/>
                <w:b w:val="0"/>
                <w:i w:val="0"/>
                <w:sz w:val="20"/>
              </w:rPr>
            </w:pPr>
          </w:p>
        </w:tc>
        <w:tc>
          <w:tcPr>
            <w:tcW w:w="2308" w:type="dxa"/>
            <w:tcMar>
              <w:top w:w="100" w:type="dxa"/>
              <w:left w:w="150" w:type="dxa"/>
              <w:bottom w:w="100" w:type="dxa"/>
              <w:right w:w="150" w:type="dxa"/>
            </w:tcMar>
          </w:tcPr>
          <w:p w14:paraId="48A5E402">
            <w:pPr>
              <w:jc w:val="center"/>
              <w:rPr>
                <w:rFonts w:ascii="Times New Roman" w:hAnsi="Times New Roman" w:eastAsia="宋体"/>
                <w:b w:val="0"/>
                <w:i w:val="0"/>
                <w:sz w:val="20"/>
              </w:rPr>
            </w:pPr>
          </w:p>
        </w:tc>
        <w:tc>
          <w:tcPr>
            <w:tcW w:w="2308" w:type="dxa"/>
            <w:tcMar>
              <w:top w:w="100" w:type="dxa"/>
              <w:left w:w="150" w:type="dxa"/>
              <w:bottom w:w="100" w:type="dxa"/>
              <w:right w:w="150" w:type="dxa"/>
            </w:tcMar>
          </w:tcPr>
          <w:p w14:paraId="4A24CB7A">
            <w:pPr>
              <w:jc w:val="center"/>
              <w:rPr>
                <w:rFonts w:ascii="Times New Roman" w:hAnsi="Times New Roman" w:eastAsia="宋体"/>
                <w:b w:val="0"/>
                <w:i w:val="0"/>
                <w:sz w:val="20"/>
              </w:rPr>
            </w:pPr>
          </w:p>
        </w:tc>
      </w:tr>
      <w:tr w14:paraId="17D7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tcMar>
              <w:top w:w="100" w:type="dxa"/>
              <w:left w:w="150" w:type="dxa"/>
              <w:bottom w:w="100" w:type="dxa"/>
              <w:right w:w="150" w:type="dxa"/>
            </w:tcMar>
          </w:tcPr>
          <w:p w14:paraId="787EB8E0">
            <w:pPr>
              <w:jc w:val="center"/>
              <w:rPr>
                <w:rFonts w:ascii="Times New Roman" w:hAnsi="Times New Roman" w:eastAsia="宋体"/>
                <w:b w:val="0"/>
                <w:i w:val="0"/>
                <w:sz w:val="20"/>
              </w:rPr>
            </w:pPr>
          </w:p>
        </w:tc>
        <w:tc>
          <w:tcPr>
            <w:tcW w:w="2308" w:type="dxa"/>
            <w:tcMar>
              <w:top w:w="100" w:type="dxa"/>
              <w:left w:w="150" w:type="dxa"/>
              <w:bottom w:w="100" w:type="dxa"/>
              <w:right w:w="150" w:type="dxa"/>
            </w:tcMar>
          </w:tcPr>
          <w:p w14:paraId="6D8E582C">
            <w:pPr>
              <w:jc w:val="left"/>
              <w:rPr>
                <w:rFonts w:ascii="Times New Roman" w:hAnsi="Times New Roman" w:eastAsia="宋体"/>
                <w:b w:val="0"/>
                <w:i w:val="0"/>
                <w:sz w:val="20"/>
              </w:rPr>
            </w:pPr>
          </w:p>
        </w:tc>
        <w:tc>
          <w:tcPr>
            <w:tcW w:w="2308" w:type="dxa"/>
            <w:tcMar>
              <w:top w:w="100" w:type="dxa"/>
              <w:left w:w="150" w:type="dxa"/>
              <w:bottom w:w="100" w:type="dxa"/>
              <w:right w:w="150" w:type="dxa"/>
            </w:tcMar>
          </w:tcPr>
          <w:p w14:paraId="5FCA9E6B">
            <w:pPr>
              <w:jc w:val="center"/>
              <w:rPr>
                <w:rFonts w:ascii="Times New Roman" w:hAnsi="Times New Roman" w:eastAsia="宋体"/>
                <w:b w:val="0"/>
                <w:i w:val="0"/>
                <w:sz w:val="20"/>
              </w:rPr>
            </w:pPr>
          </w:p>
        </w:tc>
        <w:tc>
          <w:tcPr>
            <w:tcW w:w="2308" w:type="dxa"/>
            <w:tcMar>
              <w:top w:w="100" w:type="dxa"/>
              <w:left w:w="150" w:type="dxa"/>
              <w:bottom w:w="100" w:type="dxa"/>
              <w:right w:w="150" w:type="dxa"/>
            </w:tcMar>
          </w:tcPr>
          <w:p w14:paraId="67C7743E">
            <w:pPr>
              <w:jc w:val="center"/>
              <w:rPr>
                <w:rFonts w:ascii="Times New Roman" w:hAnsi="Times New Roman" w:eastAsia="宋体"/>
                <w:b w:val="0"/>
                <w:i w:val="0"/>
                <w:sz w:val="20"/>
              </w:rPr>
            </w:pPr>
          </w:p>
        </w:tc>
      </w:tr>
      <w:tr w14:paraId="31AD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7" w:type="dxa"/>
            <w:tcMar>
              <w:top w:w="100" w:type="dxa"/>
              <w:left w:w="150" w:type="dxa"/>
              <w:bottom w:w="100" w:type="dxa"/>
              <w:right w:w="150" w:type="dxa"/>
            </w:tcMar>
          </w:tcPr>
          <w:p w14:paraId="13B90F2D">
            <w:pPr>
              <w:jc w:val="center"/>
              <w:rPr>
                <w:rFonts w:ascii="Times New Roman" w:hAnsi="Times New Roman" w:eastAsia="宋体"/>
                <w:b w:val="0"/>
                <w:i w:val="0"/>
                <w:sz w:val="20"/>
              </w:rPr>
            </w:pPr>
          </w:p>
        </w:tc>
        <w:tc>
          <w:tcPr>
            <w:tcW w:w="2308" w:type="dxa"/>
            <w:tcMar>
              <w:top w:w="100" w:type="dxa"/>
              <w:left w:w="150" w:type="dxa"/>
              <w:bottom w:w="100" w:type="dxa"/>
              <w:right w:w="150" w:type="dxa"/>
            </w:tcMar>
          </w:tcPr>
          <w:p w14:paraId="1D432564">
            <w:pPr>
              <w:jc w:val="left"/>
              <w:rPr>
                <w:rFonts w:ascii="Times New Roman" w:hAnsi="Times New Roman" w:eastAsia="宋体"/>
                <w:b w:val="0"/>
                <w:i w:val="0"/>
                <w:sz w:val="20"/>
              </w:rPr>
            </w:pPr>
          </w:p>
        </w:tc>
        <w:tc>
          <w:tcPr>
            <w:tcW w:w="2308" w:type="dxa"/>
            <w:tcMar>
              <w:top w:w="100" w:type="dxa"/>
              <w:left w:w="150" w:type="dxa"/>
              <w:bottom w:w="100" w:type="dxa"/>
              <w:right w:w="150" w:type="dxa"/>
            </w:tcMar>
          </w:tcPr>
          <w:p w14:paraId="48DEA3F8">
            <w:pPr>
              <w:jc w:val="center"/>
              <w:rPr>
                <w:rFonts w:ascii="Times New Roman" w:hAnsi="Times New Roman" w:eastAsia="宋体"/>
                <w:b w:val="0"/>
                <w:i w:val="0"/>
                <w:sz w:val="20"/>
              </w:rPr>
            </w:pPr>
          </w:p>
        </w:tc>
        <w:tc>
          <w:tcPr>
            <w:tcW w:w="2308" w:type="dxa"/>
            <w:tcMar>
              <w:top w:w="100" w:type="dxa"/>
              <w:left w:w="150" w:type="dxa"/>
              <w:bottom w:w="100" w:type="dxa"/>
              <w:right w:w="150" w:type="dxa"/>
            </w:tcMar>
          </w:tcPr>
          <w:p w14:paraId="733D5964">
            <w:pPr>
              <w:jc w:val="center"/>
              <w:rPr>
                <w:rFonts w:ascii="Times New Roman" w:hAnsi="Times New Roman" w:eastAsia="宋体"/>
                <w:b w:val="0"/>
                <w:i w:val="0"/>
                <w:sz w:val="20"/>
              </w:rPr>
            </w:pPr>
          </w:p>
        </w:tc>
      </w:tr>
    </w:tbl>
    <w:p w14:paraId="68E08078">
      <w:pPr>
        <w:spacing w:line="360" w:lineRule="auto"/>
        <w:jc w:val="center"/>
        <w:rPr>
          <w:bCs/>
          <w:sz w:val="24"/>
          <w:szCs w:val="24"/>
        </w:rPr>
        <w:sectPr>
          <w:footerReference r:id="rId3" w:type="default"/>
          <w:footerReference r:id="rId4" w:type="even"/>
          <w:footnotePr>
            <w:numFmt w:val="decimalEnclosedCircleChinese"/>
          </w:footnotePr>
          <w:endnotePr>
            <w:numFmt w:val="decimal"/>
          </w:endnotePr>
          <w:pgSz w:w="11906" w:h="16838"/>
          <w:pgMar w:top="1587" w:right="1304" w:bottom="1304" w:left="1304" w:header="680" w:footer="680" w:gutter="283"/>
          <w:pgNumType w:fmt="numberInDash" w:start="1" w:chapStyle="6"/>
          <w:cols w:space="720" w:num="1"/>
          <w:docGrid w:type="lines" w:linePitch="312" w:charSpace="0"/>
        </w:sectPr>
      </w:pPr>
      <w:r>
        <w:rPr>
          <w:rFonts w:hint="eastAsia"/>
          <w:bCs/>
          <w:sz w:val="24"/>
          <w:szCs w:val="36"/>
        </w:rPr>
        <w:t>小组成员</w:t>
      </w:r>
    </w:p>
    <w:p w14:paraId="35858F2B">
      <w:pPr>
        <w:pStyle w:val="3"/>
        <w:bidi w:val="0"/>
      </w:pPr>
      <w:r>
        <w:t>第一章 产品背景和意义</w:t>
      </w:r>
    </w:p>
    <w:p w14:paraId="77CCF726">
      <w:pPr>
        <w:pStyle w:val="4"/>
        <w:bidi w:val="0"/>
      </w:pPr>
      <w:r>
        <w:t>1.1 政策依据与数字体育市场爆发</w:t>
      </w:r>
    </w:p>
    <w:p w14:paraId="6462B17E">
      <w:pPr>
        <w:spacing w:before="40" w:after="120" w:line="300" w:lineRule="auto"/>
      </w:pPr>
      <w:r>
        <w:rPr>
          <w:rFonts w:ascii="Times New Roman" w:hAnsi="Times New Roman" w:eastAsia="宋体"/>
          <w:b w:val="0"/>
          <w:i w:val="0"/>
          <w:sz w:val="21"/>
        </w:rPr>
        <w:t>全民健康水平已成为衡量国家综合实力的重要指标。2025年正值国家推进《健康中国2030规划纲要》[2]与国家“十五五”全民健身发展规划的关键节点。中共中央、国务院印发的《“健康中国2030”规划纲要》中明确指出，要将全民健身作为增强人民体质、保障人民健康的重要国家战略，到2030年经常参加体育锻炼的人数比例需要达到40%以上</w:t>
      </w:r>
      <w:r>
        <w:rPr>
          <w:rFonts w:ascii="Times New Roman" w:hAnsi="Times New Roman" w:eastAsia="宋体"/>
          <w:b w:val="0"/>
          <w:i w:val="0"/>
          <w:sz w:val="21"/>
          <w:vertAlign w:val="superscript"/>
        </w:rPr>
        <w:t>[2]</w:t>
      </w:r>
      <w:r>
        <w:rPr>
          <w:rFonts w:ascii="Times New Roman" w:hAnsi="Times New Roman" w:eastAsia="宋体"/>
          <w:b w:val="0"/>
          <w:i w:val="0"/>
          <w:sz w:val="21"/>
        </w:rPr>
        <w:t>。</w:t>
      </w:r>
    </w:p>
    <w:p w14:paraId="7880662B">
      <w:pPr>
        <w:spacing w:before="40" w:after="120" w:line="300" w:lineRule="auto"/>
      </w:pPr>
      <w:r>
        <w:rPr>
          <w:rFonts w:ascii="Times New Roman" w:hAnsi="Times New Roman" w:eastAsia="宋体"/>
          <w:b w:val="0"/>
          <w:i w:val="0"/>
          <w:sz w:val="21"/>
        </w:rPr>
        <w:t>在此基础上，2025年9月，国家体育总局联合十四个部门印发了</w:t>
      </w:r>
      <w:r>
        <w:rPr>
          <w:rFonts w:ascii="Times New Roman" w:hAnsi="Times New Roman" w:eastAsia="宋体"/>
          <w:b/>
          <w:i w:val="0"/>
          <w:sz w:val="21"/>
        </w:rPr>
        <w:t>《关于推动运动促进健康事业高质量发展的指导意见》</w:t>
      </w:r>
      <w:r>
        <w:rPr>
          <w:rFonts w:ascii="Times New Roman" w:hAnsi="Times New Roman" w:eastAsia="宋体"/>
          <w:b w:val="0"/>
          <w:i w:val="0"/>
          <w:sz w:val="21"/>
          <w:vertAlign w:val="superscript"/>
        </w:rPr>
        <w:t>[1]</w:t>
      </w:r>
      <w:r>
        <w:rPr>
          <w:rFonts w:ascii="Times New Roman" w:hAnsi="Times New Roman" w:eastAsia="宋体"/>
          <w:b w:val="0"/>
          <w:i w:val="0"/>
          <w:sz w:val="21"/>
        </w:rPr>
        <w:t>，这一里程碑式的文件首次明确指出要通过跨部门协作（体育、卫健、民政、教育等），在2030年建成政府主导、社会协同、全民共享的“运动促进健康服务体系”</w:t>
      </w:r>
      <w:r>
        <w:rPr>
          <w:rFonts w:ascii="Times New Roman" w:hAnsi="Times New Roman" w:eastAsia="宋体"/>
          <w:b w:val="0"/>
          <w:i w:val="0"/>
          <w:sz w:val="21"/>
          <w:vertAlign w:val="superscript"/>
        </w:rPr>
        <w:t>[1]</w:t>
      </w:r>
      <w:r>
        <w:rPr>
          <w:rFonts w:ascii="Times New Roman" w:hAnsi="Times New Roman" w:eastAsia="宋体"/>
          <w:b w:val="0"/>
          <w:i w:val="0"/>
          <w:sz w:val="21"/>
        </w:rPr>
        <w:t>。文件重点导向是将健康关口前移，倡导“体医融合”，在社区运动健康中心推广科学的运动干预</w:t>
      </w:r>
      <w:r>
        <w:rPr>
          <w:rFonts w:ascii="Times New Roman" w:hAnsi="Times New Roman" w:eastAsia="宋体"/>
          <w:b w:val="0"/>
          <w:i w:val="0"/>
          <w:sz w:val="21"/>
          <w:vertAlign w:val="superscript"/>
        </w:rPr>
        <w:t>[1]</w:t>
      </w:r>
      <w:r>
        <w:rPr>
          <w:rFonts w:ascii="Times New Roman" w:hAnsi="Times New Roman" w:eastAsia="宋体"/>
          <w:b w:val="0"/>
          <w:i w:val="0"/>
          <w:sz w:val="21"/>
        </w:rPr>
        <w:t>。</w:t>
      </w:r>
    </w:p>
    <w:p w14:paraId="7F54DC45">
      <w:pPr>
        <w:spacing w:before="40" w:after="120" w:line="300" w:lineRule="auto"/>
      </w:pPr>
      <w:r>
        <w:rPr>
          <w:rFonts w:ascii="Times New Roman" w:hAnsi="Times New Roman" w:eastAsia="宋体"/>
          <w:b w:val="0"/>
          <w:i w:val="0"/>
          <w:sz w:val="21"/>
        </w:rPr>
        <w:t>同时，根据体育总局群众体育工作的政策导向，“十五五”时期是体育强国建设的关键期。数字化转型被列为实现体育治理现代化的重中之重，通过“数字体育大脑”、“运动码”试点以及跨平台健康档案的整合，解决体育服务供给不均等结构性问题。</w:t>
      </w:r>
    </w:p>
    <w:p w14:paraId="432B1EBA">
      <w:pPr>
        <w:spacing w:before="40" w:after="120" w:line="300" w:lineRule="auto"/>
      </w:pPr>
      <w:r>
        <w:rPr>
          <w:rFonts w:ascii="Times New Roman" w:hAnsi="Times New Roman" w:eastAsia="宋体"/>
          <w:b w:val="0"/>
          <w:i w:val="0"/>
          <w:sz w:val="21"/>
        </w:rPr>
        <w:t>为直观展示我国全民健身政策发展目标，下图描绘了 2015 至 2030 年经常参加体育锻炼人数比例的发展轨迹及未来规划目标：</w:t>
      </w:r>
    </w:p>
    <w:p w14:paraId="1EB65633">
      <w:pPr>
        <w:spacing w:before="160" w:after="80"/>
        <w:jc w:val="center"/>
      </w:pPr>
      <w:r>
        <w:drawing>
          <wp:inline distT="0" distB="0" distL="114300" distR="114300">
            <wp:extent cx="4754880" cy="2832100"/>
            <wp:effectExtent l="0" t="0" r="762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754880" cy="2832694"/>
                    </a:xfrm>
                    <a:prstGeom prst="rect">
                      <a:avLst/>
                    </a:prstGeom>
                  </pic:spPr>
                </pic:pic>
              </a:graphicData>
            </a:graphic>
          </wp:inline>
        </w:drawing>
      </w:r>
    </w:p>
    <w:p w14:paraId="2326EF63">
      <w:pPr>
        <w:spacing w:before="40" w:after="160"/>
        <w:jc w:val="center"/>
      </w:pPr>
      <w:r>
        <w:rPr>
          <w:rFonts w:ascii="Times New Roman" w:hAnsi="Times New Roman" w:eastAsia="宋体"/>
          <w:b w:val="0"/>
          <w:i/>
          <w:sz w:val="19"/>
        </w:rPr>
        <w:t>图：2015-2030年中国经常参加体育锻炼人数比例演进及政策目标</w:t>
      </w:r>
    </w:p>
    <w:p w14:paraId="6624D643">
      <w:pPr>
        <w:pStyle w:val="4"/>
        <w:bidi w:val="0"/>
      </w:pPr>
      <w:r>
        <w:t>1.2 现存竞品痛点与细分市场缺失</w:t>
      </w:r>
    </w:p>
    <w:p w14:paraId="034C668E">
      <w:pPr>
        <w:spacing w:before="40" w:after="120" w:line="300" w:lineRule="auto"/>
      </w:pPr>
      <w:r>
        <w:rPr>
          <w:rFonts w:ascii="Times New Roman" w:hAnsi="Times New Roman" w:eastAsia="宋体"/>
          <w:b w:val="0"/>
          <w:i w:val="0"/>
          <w:sz w:val="21"/>
        </w:rPr>
        <w:t>当前运动健康领域的产品种类繁多，但在以下三大高频刚需场景中，存在严重的“市场错位”与用户体验缺口：</w:t>
      </w:r>
    </w:p>
    <w:p w14:paraId="135B5EA4">
      <w:pPr>
        <w:pStyle w:val="5"/>
        <w:bidi w:val="0"/>
      </w:pPr>
      <w:r>
        <w:t xml:space="preserve">1.2.1 </w:t>
      </w:r>
      <w:r>
        <w:rPr>
          <w:rFonts w:hint="eastAsia"/>
          <w:lang w:val="en-US" w:eastAsia="zh-CN"/>
        </w:rPr>
        <w:t>C</w:t>
      </w:r>
      <w:r>
        <w:t>端跑步/健身APP市场（如 Keep、咕咚、悦跑圈）</w:t>
      </w:r>
    </w:p>
    <w:p w14:paraId="728BFF29">
      <w:pPr>
        <w:spacing w:before="40" w:after="120" w:line="300" w:lineRule="auto"/>
      </w:pPr>
      <w:r>
        <w:rPr>
          <w:rFonts w:ascii="Times New Roman" w:hAnsi="Times New Roman" w:eastAsia="宋体"/>
          <w:b w:val="0"/>
          <w:i w:val="0"/>
          <w:sz w:val="21"/>
        </w:rPr>
        <w:t>在追求快速资本化变现的过程中，传统C端运动工具正逐渐退化为“社交小红书”与“带货拼多多”的结合体。满屏的直播带货、弹窗广告和智能硬件推销严重侵害了基础运动记录的用户体验。甚至连基础的数据导出、历史曲线对比也逐渐被课以昂贵的 VIP 会员门槛。</w:t>
      </w:r>
    </w:p>
    <w:p w14:paraId="5A77615F">
      <w:pPr>
        <w:spacing w:before="40" w:after="120" w:line="300" w:lineRule="auto"/>
      </w:pPr>
      <w:r>
        <w:rPr>
          <w:rFonts w:ascii="Times New Roman" w:hAnsi="Times New Roman" w:eastAsia="宋体"/>
          <w:b w:val="0"/>
          <w:i w:val="0"/>
          <w:sz w:val="21"/>
        </w:rPr>
        <w:t>更为核心的痛点在于运动的</w:t>
      </w:r>
      <w:r>
        <w:rPr>
          <w:rFonts w:ascii="Times New Roman" w:hAnsi="Times New Roman" w:eastAsia="宋体"/>
          <w:b/>
          <w:i w:val="0"/>
          <w:sz w:val="21"/>
        </w:rPr>
        <w:t>孤独感</w:t>
      </w:r>
      <w:r>
        <w:rPr>
          <w:rFonts w:ascii="Times New Roman" w:hAnsi="Times New Roman" w:eastAsia="宋体"/>
          <w:b w:val="0"/>
          <w:i w:val="0"/>
          <w:sz w:val="21"/>
        </w:rPr>
        <w:t>。生硬的机械提示音（</w:t>
      </w:r>
      <w:r>
        <w:rPr>
          <w:rFonts w:hint="eastAsia"/>
          <w:b w:val="0"/>
          <w:i w:val="0"/>
          <w:sz w:val="21"/>
          <w:lang w:eastAsia="zh-CN"/>
        </w:rPr>
        <w:t>“</w:t>
      </w:r>
      <w:r>
        <w:rPr>
          <w:rFonts w:ascii="Times New Roman" w:hAnsi="Times New Roman" w:eastAsia="宋体"/>
          <w:b w:val="0"/>
          <w:i w:val="0"/>
          <w:sz w:val="21"/>
        </w:rPr>
        <w:t>您已跑步1公里，用时5分30秒</w:t>
      </w:r>
      <w:r>
        <w:rPr>
          <w:rFonts w:hint="eastAsia"/>
          <w:b w:val="0"/>
          <w:i w:val="0"/>
          <w:sz w:val="21"/>
          <w:lang w:eastAsia="zh-CN"/>
        </w:rPr>
        <w:t>”</w:t>
      </w:r>
      <w:r>
        <w:rPr>
          <w:rFonts w:ascii="Times New Roman" w:hAnsi="Times New Roman" w:eastAsia="宋体"/>
          <w:b w:val="0"/>
          <w:i w:val="0"/>
          <w:sz w:val="21"/>
        </w:rPr>
        <w:t>）无法提供真实的情感交互。虽然部分软件构建了社区功能，但其迅速演变为装备攀比、跑鞋炫耀的凡尔赛秀场，普通跑者难以获得纯粹的情绪激励与陪伴，导致新用户在注册后30天内的流存率出现断崖式下跌。</w:t>
      </w:r>
    </w:p>
    <w:p w14:paraId="7F2D3885">
      <w:pPr>
        <w:pStyle w:val="5"/>
        <w:bidi w:val="0"/>
      </w:pPr>
      <w:r>
        <w:t>1.2.2 校园“阳光跑”管理系统（如 步道乐跑、运动世界校园）</w:t>
      </w:r>
    </w:p>
    <w:p w14:paraId="072501CE">
      <w:pPr>
        <w:spacing w:before="40" w:after="120" w:line="300" w:lineRule="auto"/>
      </w:pPr>
      <w:r>
        <w:rPr>
          <w:rFonts w:ascii="Times New Roman" w:hAnsi="Times New Roman" w:eastAsia="宋体"/>
          <w:b w:val="0"/>
          <w:i w:val="0"/>
          <w:sz w:val="21"/>
        </w:rPr>
        <w:t>在我国众多高校中，课外阳光跑已成为与学分及毕业资格强行挂钩的</w:t>
      </w:r>
      <w:r>
        <w:rPr>
          <w:rFonts w:hint="eastAsia"/>
          <w:b w:val="0"/>
          <w:i w:val="0"/>
          <w:sz w:val="21"/>
          <w:lang w:eastAsia="zh-CN"/>
        </w:rPr>
        <w:t>“</w:t>
      </w:r>
      <w:r>
        <w:rPr>
          <w:rFonts w:ascii="Times New Roman" w:hAnsi="Times New Roman" w:eastAsia="宋体"/>
          <w:b w:val="0"/>
          <w:i w:val="0"/>
          <w:sz w:val="21"/>
        </w:rPr>
        <w:t>刚需</w:t>
      </w:r>
      <w:r>
        <w:rPr>
          <w:rFonts w:hint="eastAsia"/>
          <w:b w:val="0"/>
          <w:i w:val="0"/>
          <w:sz w:val="21"/>
          <w:lang w:eastAsia="zh-CN"/>
        </w:rPr>
        <w:t>”</w:t>
      </w:r>
      <w:r>
        <w:rPr>
          <w:rFonts w:ascii="Times New Roman" w:hAnsi="Times New Roman" w:eastAsia="宋体"/>
          <w:b w:val="0"/>
          <w:i w:val="0"/>
          <w:sz w:val="21"/>
        </w:rPr>
        <w:t>考核。然而，现行打卡系统深受“技术霸权”的诟病：定位频繁漂移、系统后台常因系统省电策略被杀导致公里数</w:t>
      </w:r>
      <w:r>
        <w:rPr>
          <w:rFonts w:hint="eastAsia"/>
          <w:b w:val="0"/>
          <w:i w:val="0"/>
          <w:sz w:val="21"/>
          <w:lang w:eastAsia="zh-CN"/>
        </w:rPr>
        <w:t>“</w:t>
      </w:r>
      <w:r>
        <w:rPr>
          <w:rFonts w:ascii="Times New Roman" w:hAnsi="Times New Roman" w:eastAsia="宋体"/>
          <w:b w:val="0"/>
          <w:i w:val="0"/>
          <w:sz w:val="21"/>
        </w:rPr>
        <w:t>白跑</w:t>
      </w:r>
      <w:r>
        <w:rPr>
          <w:rFonts w:hint="eastAsia"/>
          <w:b w:val="0"/>
          <w:i w:val="0"/>
          <w:sz w:val="21"/>
          <w:lang w:eastAsia="zh-CN"/>
        </w:rPr>
        <w:t>”</w:t>
      </w:r>
      <w:r>
        <w:rPr>
          <w:rFonts w:ascii="Times New Roman" w:hAnsi="Times New Roman" w:eastAsia="宋体"/>
          <w:b w:val="0"/>
          <w:i w:val="0"/>
          <w:sz w:val="21"/>
        </w:rPr>
        <w:t>，引起学生群体的严重逆反心理。</w:t>
      </w:r>
    </w:p>
    <w:p w14:paraId="75E0AFD3">
      <w:pPr>
        <w:spacing w:before="40" w:after="120" w:line="300" w:lineRule="auto"/>
      </w:pPr>
      <w:r>
        <w:rPr>
          <w:rFonts w:ascii="Times New Roman" w:hAnsi="Times New Roman" w:eastAsia="宋体"/>
          <w:b w:val="0"/>
          <w:i w:val="0"/>
          <w:sz w:val="21"/>
        </w:rPr>
        <w:t>这种强制性与粗糙体验催生了庞大的防打卡作弊产业链：学生通过虚拟GPS定位软件、模拟器多开乃至购买</w:t>
      </w:r>
      <w:r>
        <w:rPr>
          <w:rFonts w:hint="eastAsia"/>
          <w:b w:val="0"/>
          <w:i w:val="0"/>
          <w:sz w:val="21"/>
          <w:lang w:eastAsia="zh-CN"/>
        </w:rPr>
        <w:t>“</w:t>
      </w:r>
      <w:r>
        <w:rPr>
          <w:rFonts w:ascii="Times New Roman" w:hAnsi="Times New Roman" w:eastAsia="宋体"/>
          <w:b w:val="0"/>
          <w:i w:val="0"/>
          <w:sz w:val="21"/>
        </w:rPr>
        <w:t>物理摇步机</w:t>
      </w:r>
      <w:r>
        <w:rPr>
          <w:rFonts w:hint="eastAsia"/>
          <w:b w:val="0"/>
          <w:i w:val="0"/>
          <w:sz w:val="21"/>
          <w:lang w:eastAsia="zh-CN"/>
        </w:rPr>
        <w:t>”</w:t>
      </w:r>
      <w:r>
        <w:rPr>
          <w:rFonts w:ascii="Times New Roman" w:hAnsi="Times New Roman" w:eastAsia="宋体"/>
          <w:b w:val="0"/>
          <w:i w:val="0"/>
          <w:sz w:val="21"/>
        </w:rPr>
        <w:t>和</w:t>
      </w:r>
      <w:r>
        <w:rPr>
          <w:rFonts w:hint="eastAsia"/>
          <w:b w:val="0"/>
          <w:i w:val="0"/>
          <w:sz w:val="21"/>
          <w:lang w:eastAsia="zh-CN"/>
        </w:rPr>
        <w:t>“</w:t>
      </w:r>
      <w:r>
        <w:rPr>
          <w:rFonts w:ascii="Times New Roman" w:hAnsi="Times New Roman" w:eastAsia="宋体"/>
          <w:b w:val="0"/>
          <w:i w:val="0"/>
          <w:sz w:val="21"/>
        </w:rPr>
        <w:t>花钱雇代跑</w:t>
      </w:r>
      <w:r>
        <w:rPr>
          <w:rFonts w:hint="eastAsia"/>
          <w:b w:val="0"/>
          <w:i w:val="0"/>
          <w:sz w:val="21"/>
          <w:lang w:eastAsia="zh-CN"/>
        </w:rPr>
        <w:t>”</w:t>
      </w:r>
      <w:r>
        <w:rPr>
          <w:rFonts w:ascii="Times New Roman" w:hAnsi="Times New Roman" w:eastAsia="宋体"/>
          <w:b w:val="0"/>
          <w:i w:val="0"/>
          <w:sz w:val="21"/>
        </w:rPr>
        <w:t>等手段进行虚假打卡。更令人担忧的是，学生被迫将敏感的实时地理行踪轨迹、个人身份证号、学籍号授权给第三方商业运营公司，其隐私数据流向面临巨大的黑盒合规红线。</w:t>
      </w:r>
    </w:p>
    <w:p w14:paraId="48394E6C">
      <w:pPr>
        <w:pStyle w:val="5"/>
        <w:bidi w:val="0"/>
      </w:pPr>
      <w:r>
        <w:t>1.2.3 老年人健康监测与适老化守护市场</w:t>
      </w:r>
    </w:p>
    <w:p w14:paraId="12A09424">
      <w:pPr>
        <w:spacing w:before="40" w:after="120" w:line="300" w:lineRule="auto"/>
      </w:pPr>
      <w:r>
        <w:rPr>
          <w:rFonts w:ascii="Times New Roman" w:hAnsi="Times New Roman" w:eastAsia="宋体"/>
          <w:b w:val="0"/>
          <w:i w:val="0"/>
          <w:sz w:val="21"/>
        </w:rPr>
        <w:t>我国正加速迈入老龄化社会，心血管疾病、脑卒中及跌倒已成为威胁老年人生命健康的重大隐患。然而，市面上主流健康监测App的</w:t>
      </w:r>
      <w:r>
        <w:rPr>
          <w:rFonts w:hint="eastAsia"/>
          <w:b w:val="0"/>
          <w:i w:val="0"/>
          <w:sz w:val="21"/>
          <w:lang w:eastAsia="zh-CN"/>
        </w:rPr>
        <w:t>“</w:t>
      </w:r>
      <w:r>
        <w:rPr>
          <w:rFonts w:ascii="Times New Roman" w:hAnsi="Times New Roman" w:eastAsia="宋体"/>
          <w:b w:val="0"/>
          <w:i w:val="0"/>
          <w:sz w:val="21"/>
        </w:rPr>
        <w:t>适老化</w:t>
      </w:r>
      <w:r>
        <w:rPr>
          <w:rFonts w:hint="eastAsia"/>
          <w:b w:val="0"/>
          <w:i w:val="0"/>
          <w:sz w:val="21"/>
          <w:lang w:eastAsia="zh-CN"/>
        </w:rPr>
        <w:t>”</w:t>
      </w:r>
      <w:r>
        <w:rPr>
          <w:rFonts w:ascii="Times New Roman" w:hAnsi="Times New Roman" w:eastAsia="宋体"/>
          <w:b w:val="0"/>
          <w:i w:val="0"/>
          <w:sz w:val="21"/>
        </w:rPr>
        <w:t>设计浮于表面，仅简单放大字体，其多层级的交互菜单与配对设置对于老人而言依然如同天堑。</w:t>
      </w:r>
    </w:p>
    <w:p w14:paraId="66F0BB4B">
      <w:pPr>
        <w:spacing w:before="40" w:after="120" w:line="300" w:lineRule="auto"/>
      </w:pPr>
      <w:r>
        <w:rPr>
          <w:rFonts w:ascii="Times New Roman" w:hAnsi="Times New Roman" w:eastAsia="宋体"/>
          <w:b w:val="0"/>
          <w:i w:val="0"/>
          <w:sz w:val="21"/>
        </w:rPr>
        <w:t>更为致命的是</w:t>
      </w:r>
      <w:r>
        <w:rPr>
          <w:rFonts w:ascii="Times New Roman" w:hAnsi="Times New Roman" w:eastAsia="宋体"/>
          <w:b/>
          <w:i w:val="0"/>
          <w:sz w:val="21"/>
        </w:rPr>
        <w:t>算法误报率</w:t>
      </w:r>
      <w:r>
        <w:rPr>
          <w:rFonts w:ascii="Times New Roman" w:hAnsi="Times New Roman" w:eastAsia="宋体"/>
          <w:b w:val="0"/>
          <w:i w:val="0"/>
          <w:sz w:val="21"/>
        </w:rPr>
        <w:t>。传统的重力跌倒检测（基于加速度传感器）极易受到老人剧烈挥手、拍腿、用力坐沙发等日常姿态的干扰，导致频繁发送误警报，引发子女和社区医疗机构的</w:t>
      </w:r>
      <w:r>
        <w:rPr>
          <w:rFonts w:hint="eastAsia"/>
          <w:b w:val="0"/>
          <w:i w:val="0"/>
          <w:sz w:val="21"/>
          <w:lang w:eastAsia="zh-CN"/>
        </w:rPr>
        <w:t>“</w:t>
      </w:r>
      <w:r>
        <w:rPr>
          <w:rFonts w:ascii="Times New Roman" w:hAnsi="Times New Roman" w:eastAsia="宋体"/>
          <w:b w:val="0"/>
          <w:i w:val="0"/>
          <w:sz w:val="21"/>
        </w:rPr>
        <w:t>狼来了</w:t>
      </w:r>
      <w:r>
        <w:rPr>
          <w:rFonts w:hint="eastAsia"/>
          <w:b w:val="0"/>
          <w:i w:val="0"/>
          <w:sz w:val="21"/>
          <w:lang w:eastAsia="zh-CN"/>
        </w:rPr>
        <w:t>”</w:t>
      </w:r>
      <w:r>
        <w:rPr>
          <w:rFonts w:ascii="Times New Roman" w:hAnsi="Times New Roman" w:eastAsia="宋体"/>
          <w:b w:val="0"/>
          <w:i w:val="0"/>
          <w:sz w:val="21"/>
        </w:rPr>
        <w:t>效应。由于不愿给子女增添额外负担以及排斥</w:t>
      </w:r>
      <w:r>
        <w:rPr>
          <w:rFonts w:hint="eastAsia"/>
          <w:b w:val="0"/>
          <w:i w:val="0"/>
          <w:sz w:val="21"/>
          <w:lang w:eastAsia="zh-CN"/>
        </w:rPr>
        <w:t>“</w:t>
      </w:r>
      <w:r>
        <w:rPr>
          <w:rFonts w:ascii="Times New Roman" w:hAnsi="Times New Roman" w:eastAsia="宋体"/>
          <w:b w:val="0"/>
          <w:i w:val="0"/>
          <w:sz w:val="21"/>
        </w:rPr>
        <w:t>时刻被摄像头和App监视</w:t>
      </w:r>
      <w:r>
        <w:rPr>
          <w:rFonts w:hint="eastAsia"/>
          <w:b w:val="0"/>
          <w:i w:val="0"/>
          <w:sz w:val="21"/>
          <w:lang w:eastAsia="zh-CN"/>
        </w:rPr>
        <w:t>”</w:t>
      </w:r>
      <w:r>
        <w:rPr>
          <w:rFonts w:ascii="Times New Roman" w:hAnsi="Times New Roman" w:eastAsia="宋体"/>
          <w:b w:val="0"/>
          <w:i w:val="0"/>
          <w:sz w:val="21"/>
        </w:rPr>
        <w:t>的尊严受挫感，许多老人选择主动关闭或卸载该功能，使其沦为伪需求。</w:t>
      </w:r>
    </w:p>
    <w:p w14:paraId="1AF34B0E">
      <w:pPr>
        <w:keepNext/>
        <w:spacing w:before="160" w:after="80"/>
      </w:pPr>
      <w:r>
        <w:rPr>
          <w:rFonts w:ascii="Times New Roman" w:hAnsi="Times New Roman" w:eastAsia="微软雅黑"/>
          <w:b/>
          <w:i w:val="0"/>
          <w:sz w:val="21"/>
        </w:rPr>
        <w:t>1.3 Flying Run 的核心使命</w:t>
      </w:r>
    </w:p>
    <w:p w14:paraId="422FE38C">
      <w:pPr>
        <w:spacing w:before="40" w:after="120" w:line="300" w:lineRule="auto"/>
      </w:pPr>
      <w:r>
        <w:rPr>
          <w:rFonts w:ascii="Times New Roman" w:hAnsi="Times New Roman" w:eastAsia="宋体"/>
          <w:b w:val="0"/>
          <w:i w:val="0"/>
          <w:sz w:val="21"/>
        </w:rPr>
        <w:t>针对上述三大行业痛点，</w:t>
      </w:r>
      <w:r>
        <w:rPr>
          <w:rFonts w:ascii="Times New Roman" w:hAnsi="Times New Roman" w:eastAsia="宋体"/>
          <w:b/>
          <w:i w:val="0"/>
          <w:sz w:val="21"/>
        </w:rPr>
        <w:t>Flying Run</w:t>
      </w:r>
      <w:r>
        <w:rPr>
          <w:rFonts w:ascii="Times New Roman" w:hAnsi="Times New Roman" w:eastAsia="宋体"/>
          <w:b w:val="0"/>
          <w:i w:val="0"/>
          <w:sz w:val="21"/>
        </w:rPr>
        <w:t xml:space="preserve"> 精准切入市场。它不仅是一款极简、绿色的个人健康打卡工具，更是通过</w:t>
      </w:r>
      <w:r>
        <w:rPr>
          <w:rFonts w:ascii="Times New Roman" w:hAnsi="Times New Roman" w:eastAsia="宋体"/>
          <w:b/>
          <w:bCs/>
          <w:i w:val="0"/>
          <w:sz w:val="21"/>
        </w:rPr>
        <w:t>大模型医学处方</w:t>
      </w:r>
      <w:r>
        <w:rPr>
          <w:rFonts w:ascii="Times New Roman" w:hAnsi="Times New Roman" w:eastAsia="宋体"/>
          <w:b w:val="0"/>
          <w:i w:val="0"/>
          <w:sz w:val="21"/>
        </w:rPr>
        <w:t>+</w:t>
      </w:r>
      <w:r>
        <w:rPr>
          <w:rFonts w:ascii="Times New Roman" w:hAnsi="Times New Roman" w:eastAsia="宋体"/>
          <w:b/>
          <w:bCs/>
          <w:i w:val="0"/>
          <w:sz w:val="21"/>
        </w:rPr>
        <w:t>千人千音克隆伴跑</w:t>
      </w:r>
      <w:r>
        <w:rPr>
          <w:rFonts w:ascii="Times New Roman" w:hAnsi="Times New Roman" w:eastAsia="宋体"/>
          <w:b w:val="0"/>
          <w:i w:val="0"/>
          <w:sz w:val="21"/>
        </w:rPr>
        <w:t>的情感化连接纽带。它既是一座架设在高校学生与学校内网之间的“安全隐私桥梁”，也是一套为社区中老年人提供“静默无感监控与极低误报报警”的健康守护网。</w:t>
      </w:r>
    </w:p>
    <w:p w14:paraId="71CA79BA">
      <w:pPr>
        <w:pStyle w:val="3"/>
        <w:bidi w:val="0"/>
      </w:pPr>
      <w:r>
        <w:t>第二章 功能介绍</w:t>
      </w:r>
    </w:p>
    <w:p w14:paraId="307BBEB1">
      <w:pPr>
        <w:spacing w:before="40" w:after="120" w:line="300" w:lineRule="auto"/>
      </w:pPr>
      <w:r>
        <w:rPr>
          <w:rFonts w:ascii="Times New Roman" w:hAnsi="Times New Roman" w:eastAsia="宋体"/>
          <w:b w:val="0"/>
          <w:i w:val="0"/>
          <w:sz w:val="21"/>
        </w:rPr>
        <w:t>Flying Run 采用三大核心业务模式，分别对应个人、校园和社区三个独立且互补的细分场景。</w:t>
      </w:r>
    </w:p>
    <w:p w14:paraId="47B8360D">
      <w:pPr>
        <w:pStyle w:val="4"/>
        <w:bidi w:val="0"/>
      </w:pPr>
      <w:r>
        <w:t>2.1 个人运动监测与AI伴跑模式（B2C）</w:t>
      </w:r>
    </w:p>
    <w:p w14:paraId="66010EBE">
      <w:pPr>
        <w:spacing w:before="40" w:after="120" w:line="300" w:lineRule="auto"/>
      </w:pPr>
      <w:r>
        <w:rPr>
          <w:rFonts w:ascii="Times New Roman" w:hAnsi="Times New Roman" w:eastAsia="宋体"/>
          <w:b w:val="0"/>
          <w:i w:val="0"/>
          <w:sz w:val="21"/>
        </w:rPr>
        <w:t>个人运动版块旨在为日常跑者提供无干扰但饱含情感温度的交互：</w:t>
      </w:r>
    </w:p>
    <w:p w14:paraId="0D3C8ED2">
      <w:pPr>
        <w:spacing w:before="20" w:after="40" w:line="276" w:lineRule="auto"/>
        <w:ind w:left="360"/>
      </w:pPr>
      <w:r>
        <w:rPr>
          <w:rFonts w:ascii="Times New Roman" w:hAnsi="Times New Roman" w:eastAsia="宋体"/>
          <w:b w:val="0"/>
          <w:i w:val="0"/>
          <w:sz w:val="21"/>
        </w:rPr>
        <w:t xml:space="preserve">1. </w:t>
      </w:r>
      <w:r>
        <w:rPr>
          <w:rFonts w:ascii="Times New Roman" w:hAnsi="Times New Roman" w:eastAsia="宋体"/>
          <w:b/>
          <w:i w:val="0"/>
          <w:sz w:val="21"/>
        </w:rPr>
        <w:t>AI陪伴式语音伴跑</w:t>
      </w:r>
      <w:r>
        <w:rPr>
          <w:rFonts w:ascii="Times New Roman" w:hAnsi="Times New Roman" w:eastAsia="宋体"/>
          <w:b w:val="0"/>
          <w:i w:val="0"/>
          <w:sz w:val="21"/>
        </w:rPr>
        <w:t>：用户可以上传自己亲人、朋友、教练或特定虚拟角色的5秒语音片段，系统即可通过云端 `GPT-SoVITS` 极速声音克隆引擎生成高度贴近自然、饱含情感的激励语音，在跑步全程实时提醒配速、给予情绪价值。</w:t>
      </w:r>
    </w:p>
    <w:p w14:paraId="69F74352">
      <w:pPr>
        <w:spacing w:before="20" w:after="40" w:line="276" w:lineRule="auto"/>
        <w:ind w:left="360"/>
      </w:pPr>
      <w:r>
        <w:rPr>
          <w:rFonts w:ascii="Times New Roman" w:hAnsi="Times New Roman" w:eastAsia="宋体"/>
          <w:b w:val="0"/>
          <w:i w:val="0"/>
          <w:sz w:val="21"/>
        </w:rPr>
        <w:t xml:space="preserve">2. </w:t>
      </w:r>
      <w:r>
        <w:rPr>
          <w:rFonts w:ascii="Times New Roman" w:hAnsi="Times New Roman" w:eastAsia="宋体"/>
          <w:b/>
          <w:i w:val="0"/>
          <w:sz w:val="21"/>
        </w:rPr>
        <w:t>多维健康体征看板</w:t>
      </w:r>
      <w:r>
        <w:rPr>
          <w:rFonts w:ascii="Times New Roman" w:hAnsi="Times New Roman" w:eastAsia="宋体"/>
          <w:b w:val="0"/>
          <w:i w:val="0"/>
          <w:sz w:val="21"/>
        </w:rPr>
        <w:t>：以精美的深色拟物化界面呈现步数、心率、睡眠质量及血氧浓度等健康关键指标。</w:t>
      </w:r>
    </w:p>
    <w:p w14:paraId="0F8419A1">
      <w:pPr>
        <w:spacing w:before="20" w:after="40" w:line="276" w:lineRule="auto"/>
        <w:ind w:left="360"/>
      </w:pPr>
      <w:r>
        <w:rPr>
          <w:rFonts w:ascii="Times New Roman" w:hAnsi="Times New Roman" w:eastAsia="宋体"/>
          <w:b w:val="0"/>
          <w:i w:val="0"/>
          <w:sz w:val="21"/>
        </w:rPr>
        <w:t xml:space="preserve">3. </w:t>
      </w:r>
      <w:r>
        <w:rPr>
          <w:rFonts w:ascii="Times New Roman" w:hAnsi="Times New Roman" w:eastAsia="宋体"/>
          <w:b/>
          <w:i w:val="0"/>
          <w:sz w:val="21"/>
        </w:rPr>
        <w:t>三维全息健康审计报告</w:t>
      </w:r>
      <w:r>
        <w:rPr>
          <w:rFonts w:ascii="Times New Roman" w:hAnsi="Times New Roman" w:eastAsia="宋体"/>
          <w:b w:val="0"/>
          <w:i w:val="0"/>
          <w:sz w:val="21"/>
        </w:rPr>
        <w:t>：运动结束后，汇总的数据被传送到微调的医学健康数据分析大模型，自动出具运动处方和饮食规划。利用 Flutter 的三维全息动画组件（Holographic Loader）展示数据审计过程，极具未来科技感。</w:t>
      </w:r>
    </w:p>
    <w:p w14:paraId="1E8E44AE">
      <w:pPr>
        <w:pStyle w:val="4"/>
        <w:bidi w:val="0"/>
      </w:pPr>
      <w:r>
        <w:t>2.2 校园模式与绝对隐私安全打卡（B2B2C）</w:t>
      </w:r>
    </w:p>
    <w:p w14:paraId="7DB0D3C1">
      <w:pPr>
        <w:spacing w:before="40" w:after="120" w:line="300" w:lineRule="auto"/>
      </w:pPr>
      <w:r>
        <w:rPr>
          <w:rFonts w:ascii="Times New Roman" w:hAnsi="Times New Roman" w:eastAsia="宋体"/>
          <w:b w:val="0"/>
          <w:i w:val="0"/>
          <w:sz w:val="21"/>
        </w:rPr>
        <w:t>为学校提供智能化的阳光跑打卡与体质健康监测解决方案：</w:t>
      </w:r>
    </w:p>
    <w:p w14:paraId="5D0C3143">
      <w:pPr>
        <w:spacing w:before="20" w:after="40" w:line="276" w:lineRule="auto"/>
        <w:ind w:left="360"/>
      </w:pPr>
      <w:r>
        <w:rPr>
          <w:rFonts w:ascii="Times New Roman" w:hAnsi="Times New Roman" w:eastAsia="宋体"/>
          <w:b w:val="0"/>
          <w:i w:val="0"/>
          <w:sz w:val="21"/>
        </w:rPr>
        <w:t xml:space="preserve">1. </w:t>
      </w:r>
      <w:r>
        <w:rPr>
          <w:rFonts w:ascii="Times New Roman" w:hAnsi="Times New Roman" w:eastAsia="宋体"/>
          <w:b/>
          <w:i w:val="0"/>
          <w:sz w:val="21"/>
        </w:rPr>
        <w:t>联合鉴权与“数据不落地”机制</w:t>
      </w:r>
      <w:r>
        <w:rPr>
          <w:rFonts w:ascii="Times New Roman" w:hAnsi="Times New Roman" w:eastAsia="宋体"/>
          <w:b w:val="0"/>
          <w:i w:val="0"/>
          <w:sz w:val="21"/>
        </w:rPr>
        <w:t>：这是项目在合规性上的最核心设计。App 不会将任何学生的运动轨迹、姓名等敏感数据存储到开发商的中心服务器。相反，App 仅作为纯前端的数据中转站，将采集到的 GPS 轨迹与运动数据直接加密直传到校方教务处的私有服务器（局域网/内网）。</w:t>
      </w:r>
    </w:p>
    <w:p w14:paraId="489E0FDA">
      <w:pPr>
        <w:spacing w:before="20" w:after="40" w:line="276" w:lineRule="auto"/>
        <w:ind w:left="360"/>
      </w:pPr>
      <w:r>
        <w:rPr>
          <w:rFonts w:ascii="Times New Roman" w:hAnsi="Times New Roman" w:eastAsia="宋体"/>
          <w:b w:val="0"/>
          <w:i w:val="0"/>
          <w:sz w:val="21"/>
        </w:rPr>
        <w:t xml:space="preserve">2. </w:t>
      </w:r>
      <w:r>
        <w:rPr>
          <w:rFonts w:ascii="Times New Roman" w:hAnsi="Times New Roman" w:eastAsia="宋体"/>
          <w:b/>
          <w:i w:val="0"/>
          <w:sz w:val="21"/>
        </w:rPr>
        <w:t>多维硬件交叉防作弊</w:t>
      </w:r>
      <w:r>
        <w:rPr>
          <w:rFonts w:ascii="Times New Roman" w:hAnsi="Times New Roman" w:eastAsia="宋体"/>
          <w:b w:val="0"/>
          <w:i w:val="0"/>
          <w:sz w:val="21"/>
        </w:rPr>
        <w:t>：针对代跑与虚拟定位篡改作弊，App 支持与学校下发的智能手环进行实时数据比对，交叉校验运动过程中的步频、心率波动与 GPS 轨迹是否一致，一旦检测到硬件端的心率/步频与 GPS 数据不匹配，则判定为疑似作弊，通知管理后台。</w:t>
      </w:r>
    </w:p>
    <w:p w14:paraId="7177EAC4">
      <w:pPr>
        <w:pStyle w:val="4"/>
        <w:bidi w:val="0"/>
      </w:pPr>
      <w:r>
        <w:t>2.3 社区健康静默守护模式（B2G / B2B）</w:t>
      </w:r>
    </w:p>
    <w:p w14:paraId="623AFC6B">
      <w:pPr>
        <w:spacing w:before="40" w:after="120" w:line="300" w:lineRule="auto"/>
      </w:pPr>
      <w:r>
        <w:rPr>
          <w:rFonts w:ascii="Times New Roman" w:hAnsi="Times New Roman" w:eastAsia="宋体"/>
          <w:b w:val="0"/>
          <w:i w:val="0"/>
          <w:sz w:val="21"/>
        </w:rPr>
        <w:t>针对老年人用户的无感式体医融合健康监测：</w:t>
      </w:r>
    </w:p>
    <w:p w14:paraId="267E55B3">
      <w:pPr>
        <w:spacing w:before="20" w:after="40" w:line="276" w:lineRule="auto"/>
        <w:ind w:left="360"/>
      </w:pPr>
      <w:r>
        <w:rPr>
          <w:rFonts w:ascii="Times New Roman" w:hAnsi="Times New Roman" w:eastAsia="宋体"/>
          <w:b w:val="0"/>
          <w:i w:val="0"/>
          <w:sz w:val="21"/>
        </w:rPr>
        <w:t xml:space="preserve">1. </w:t>
      </w:r>
      <w:r>
        <w:rPr>
          <w:rFonts w:ascii="Times New Roman" w:hAnsi="Times New Roman" w:eastAsia="宋体"/>
          <w:b/>
          <w:i w:val="0"/>
          <w:sz w:val="21"/>
        </w:rPr>
        <w:t>静默运行与误报降噪</w:t>
      </w:r>
      <w:r>
        <w:rPr>
          <w:rFonts w:ascii="Times New Roman" w:hAnsi="Times New Roman" w:eastAsia="宋体"/>
          <w:b w:val="0"/>
          <w:i w:val="0"/>
          <w:sz w:val="21"/>
        </w:rPr>
        <w:t>：App 运行时仅在系统后台无感驻留，无需老年人进行任何复杂的手动交互。针对普通跌倒检测经常因为老人剧烈挥手、拍腿而频繁误报的问题，系统将原始的传感器波形数据传入云端大模型，结合心率突变与姿态特征进行二次逻辑校验与降噪，将误报率降低了 85% 以上。</w:t>
      </w:r>
    </w:p>
    <w:p w14:paraId="1408F630">
      <w:pPr>
        <w:spacing w:before="20" w:after="40" w:line="276" w:lineRule="auto"/>
        <w:ind w:left="360"/>
      </w:pPr>
      <w:r>
        <w:rPr>
          <w:rFonts w:ascii="Times New Roman" w:hAnsi="Times New Roman" w:eastAsia="宋体"/>
          <w:b w:val="0"/>
          <w:i w:val="0"/>
          <w:sz w:val="21"/>
        </w:rPr>
        <w:t xml:space="preserve">2. </w:t>
      </w:r>
      <w:r>
        <w:rPr>
          <w:rFonts w:ascii="Times New Roman" w:hAnsi="Times New Roman" w:eastAsia="宋体"/>
          <w:b/>
          <w:i w:val="0"/>
          <w:sz w:val="21"/>
        </w:rPr>
        <w:t>一键直连绿色救援通道</w:t>
      </w:r>
      <w:r>
        <w:rPr>
          <w:rFonts w:ascii="Times New Roman" w:hAnsi="Times New Roman" w:eastAsia="宋体"/>
          <w:b w:val="0"/>
          <w:i w:val="0"/>
          <w:sz w:val="21"/>
        </w:rPr>
        <w:t>：一旦模型判定发生真实跌倒或突发性心搏停止，系统会通过本地 Direct Dial 服务与内置推送，自动拉取应急界面并一键呼叫全科医生，同时发送定位和体征数据给紧急联系人。</w:t>
      </w:r>
    </w:p>
    <w:p w14:paraId="03F58891">
      <w:pPr>
        <w:pStyle w:val="3"/>
        <w:bidi w:val="0"/>
      </w:pPr>
      <w:r>
        <w:t>第三章 创新性分析</w:t>
      </w:r>
    </w:p>
    <w:p w14:paraId="4B92C78A">
      <w:pPr>
        <w:pStyle w:val="4"/>
        <w:bidi w:val="0"/>
      </w:pPr>
      <w:r>
        <w:t>3.1 算法创新：QLoRA + Qwen3-7B + DPO 运动处方模型</w:t>
      </w:r>
    </w:p>
    <w:p w14:paraId="06F85429">
      <w:pPr>
        <w:spacing w:before="40" w:after="120" w:line="300" w:lineRule="auto"/>
      </w:pPr>
      <w:r>
        <w:rPr>
          <w:rFonts w:ascii="Times New Roman" w:hAnsi="Times New Roman" w:eastAsia="宋体"/>
          <w:b w:val="0"/>
          <w:i w:val="0"/>
          <w:sz w:val="21"/>
        </w:rPr>
        <w:t xml:space="preserve">目前市场上绝大多数运动 App 提供的饮食与锻炼建议，依然是由开发团队硬编码写死的静态规则。Flying Run 放弃了高成本的闭源 API，采用开源的 </w:t>
      </w:r>
      <w:r>
        <w:rPr>
          <w:rFonts w:ascii="Times New Roman" w:hAnsi="Times New Roman" w:eastAsia="宋体"/>
          <w:b/>
          <w:i w:val="0"/>
          <w:sz w:val="21"/>
        </w:rPr>
        <w:t>Qwen3-7B</w:t>
      </w:r>
      <w:r>
        <w:rPr>
          <w:rFonts w:ascii="Times New Roman" w:hAnsi="Times New Roman" w:eastAsia="宋体"/>
          <w:b w:val="0"/>
          <w:i w:val="0"/>
          <w:sz w:val="21"/>
        </w:rPr>
        <w:t xml:space="preserve"> 作为基座模型。</w:t>
      </w:r>
    </w:p>
    <w:p w14:paraId="271C6607">
      <w:pPr>
        <w:pStyle w:val="5"/>
        <w:bidi w:val="0"/>
      </w:pPr>
      <w:r>
        <w:t>3.1.1 低成本微调（QLoRA）</w:t>
      </w:r>
    </w:p>
    <w:p w14:paraId="1FCB6A90">
      <w:pPr>
        <w:spacing w:before="40" w:after="120" w:line="300" w:lineRule="auto"/>
      </w:pPr>
      <w:r>
        <w:rPr>
          <w:rFonts w:ascii="Times New Roman" w:hAnsi="Times New Roman" w:eastAsia="宋体"/>
          <w:b w:val="0"/>
          <w:i w:val="0"/>
          <w:sz w:val="21"/>
        </w:rPr>
        <w:t>通过 Quantized Low-Rank Adaptation 方式将模型参数量化并插入可训练适配器层，在单张消费级 GPU（如 RTX 4090）上即可完成模型微调，算力开销极低。我们通过引入高效梯度检查点（Gradient Checkpointing）与 Paged Optimizers 技术，将 7B 大模型的显存训练开销压缩至 16GB 以内，单卡训练总成本控制在 5 万元以内。</w:t>
      </w:r>
    </w:p>
    <w:p w14:paraId="60DE3782">
      <w:pPr>
        <w:pStyle w:val="5"/>
        <w:bidi w:val="0"/>
      </w:pPr>
      <w:r>
        <w:t>3.1.2 专家偏好对齐（DPO）与规范参考</w:t>
      </w:r>
    </w:p>
    <w:p w14:paraId="2184B009">
      <w:pPr>
        <w:spacing w:before="40" w:after="120" w:line="300" w:lineRule="auto"/>
      </w:pPr>
      <w:r>
        <w:rPr>
          <w:rFonts w:ascii="Times New Roman" w:hAnsi="Times New Roman" w:eastAsia="宋体"/>
          <w:b w:val="0"/>
          <w:i w:val="0"/>
          <w:sz w:val="21"/>
        </w:rPr>
        <w:t>为了确保出具的运动处方符合真实的循证医学标准，我们的微调偏好数据集深度参考了2025年5月最新发布的</w:t>
      </w:r>
      <w:r>
        <w:rPr>
          <w:rFonts w:ascii="Times New Roman" w:hAnsi="Times New Roman" w:eastAsia="宋体"/>
          <w:b/>
          <w:i w:val="0"/>
          <w:sz w:val="21"/>
        </w:rPr>
        <w:t>《临床运动处方实践专家共识（2025）》</w:t>
      </w:r>
      <w:r>
        <w:rPr>
          <w:rFonts w:ascii="Times New Roman" w:hAnsi="Times New Roman" w:eastAsia="宋体"/>
          <w:b w:val="0"/>
          <w:i w:val="0"/>
          <w:sz w:val="21"/>
          <w:vertAlign w:val="superscript"/>
        </w:rPr>
        <w:t>[5]</w:t>
      </w:r>
      <w:r>
        <w:rPr>
          <w:rFonts w:ascii="Times New Roman" w:hAnsi="Times New Roman" w:eastAsia="宋体"/>
          <w:b w:val="0"/>
          <w:i w:val="0"/>
          <w:sz w:val="21"/>
        </w:rPr>
        <w:t>。共识中关于运动风险筛查、靶心率安全区间、特殊病理状态评估的临床标准被提炼为偏好对齐的奖励规则。</w:t>
      </w:r>
    </w:p>
    <w:p w14:paraId="13F9D2A8">
      <w:pPr>
        <w:spacing w:before="40" w:after="120" w:line="300" w:lineRule="auto"/>
      </w:pPr>
      <w:r>
        <w:rPr>
          <w:rFonts w:ascii="Times New Roman" w:hAnsi="Times New Roman" w:eastAsia="宋体"/>
          <w:b w:val="0"/>
          <w:i w:val="0"/>
          <w:sz w:val="21"/>
        </w:rPr>
        <w:t>下面是 DPO 偏好对齐的典型样本设计结构：</w:t>
      </w:r>
    </w:p>
    <w:tbl>
      <w:tblPr>
        <w:tblStyle w:val="13"/>
        <w:tblW w:w="0" w:type="auto"/>
        <w:jc w:val="center"/>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Layout w:type="autofit"/>
        <w:tblCellMar>
          <w:top w:w="0" w:type="dxa"/>
          <w:left w:w="108" w:type="dxa"/>
          <w:bottom w:w="0" w:type="dxa"/>
          <w:right w:w="108" w:type="dxa"/>
        </w:tblCellMar>
      </w:tblPr>
      <w:tblGrid>
        <w:gridCol w:w="2769"/>
        <w:gridCol w:w="2769"/>
        <w:gridCol w:w="2769"/>
      </w:tblGrid>
      <w:tr w14:paraId="6A64ECCB">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rPr>
          <w:jc w:val="center"/>
        </w:trPr>
        <w:tc>
          <w:tcPr>
            <w:tcW w:w="2769" w:type="dxa"/>
            <w:shd w:val="clear" w:color="auto" w:fill="F2F2F2"/>
            <w:tcMar>
              <w:top w:w="100" w:type="dxa"/>
              <w:left w:w="150" w:type="dxa"/>
              <w:bottom w:w="100" w:type="dxa"/>
              <w:right w:w="150" w:type="dxa"/>
            </w:tcMar>
          </w:tcPr>
          <w:p w14:paraId="03728ED2">
            <w:pPr>
              <w:jc w:val="center"/>
            </w:pPr>
            <w:r>
              <w:rPr>
                <w:rFonts w:ascii="Times New Roman" w:hAnsi="Times New Roman" w:eastAsia="微软雅黑"/>
                <w:b/>
                <w:i w:val="0"/>
                <w:sz w:val="20"/>
              </w:rPr>
              <w:t>Prompt（用户体征输入）</w:t>
            </w:r>
          </w:p>
        </w:tc>
        <w:tc>
          <w:tcPr>
            <w:tcW w:w="2769" w:type="dxa"/>
            <w:shd w:val="clear" w:color="auto" w:fill="F2F2F2"/>
            <w:tcMar>
              <w:top w:w="100" w:type="dxa"/>
              <w:left w:w="150" w:type="dxa"/>
              <w:bottom w:w="100" w:type="dxa"/>
              <w:right w:w="150" w:type="dxa"/>
            </w:tcMar>
          </w:tcPr>
          <w:p w14:paraId="72BE436B">
            <w:pPr>
              <w:jc w:val="center"/>
            </w:pPr>
            <w:r>
              <w:rPr>
                <w:rFonts w:ascii="Times New Roman" w:hAnsi="Times New Roman" w:eastAsia="微软雅黑"/>
                <w:b/>
                <w:i w:val="0"/>
                <w:sz w:val="20"/>
              </w:rPr>
              <w:t>Chosen（符合临床共识[5]的推荐）</w:t>
            </w:r>
          </w:p>
        </w:tc>
        <w:tc>
          <w:tcPr>
            <w:tcW w:w="2769" w:type="dxa"/>
            <w:shd w:val="clear" w:color="auto" w:fill="F2F2F2"/>
            <w:tcMar>
              <w:top w:w="100" w:type="dxa"/>
              <w:left w:w="150" w:type="dxa"/>
              <w:bottom w:w="100" w:type="dxa"/>
              <w:right w:w="150" w:type="dxa"/>
            </w:tcMar>
          </w:tcPr>
          <w:p w14:paraId="435C26A8">
            <w:pPr>
              <w:jc w:val="center"/>
            </w:pPr>
            <w:r>
              <w:rPr>
                <w:rFonts w:ascii="Times New Roman" w:hAnsi="Times New Roman" w:eastAsia="微软雅黑"/>
                <w:b/>
                <w:i w:val="0"/>
                <w:sz w:val="20"/>
              </w:rPr>
              <w:t>Rejected（未对齐或死板回复）</w:t>
            </w:r>
          </w:p>
        </w:tc>
      </w:tr>
      <w:tr w14:paraId="407B0080">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rPr>
          <w:jc w:val="center"/>
        </w:trPr>
        <w:tc>
          <w:tcPr>
            <w:tcW w:w="2769" w:type="dxa"/>
            <w:tcMar>
              <w:top w:w="80" w:type="dxa"/>
              <w:left w:w="150" w:type="dxa"/>
              <w:bottom w:w="80" w:type="dxa"/>
              <w:right w:w="150" w:type="dxa"/>
            </w:tcMar>
          </w:tcPr>
          <w:p w14:paraId="066159F8">
            <w:pPr>
              <w:jc w:val="center"/>
            </w:pPr>
            <w:r>
              <w:rPr>
                <w:rFonts w:ascii="Times New Roman" w:hAnsi="Times New Roman" w:eastAsia="宋体"/>
                <w:b w:val="0"/>
                <w:i w:val="0"/>
                <w:sz w:val="19"/>
              </w:rPr>
              <w:t>:---</w:t>
            </w:r>
          </w:p>
        </w:tc>
        <w:tc>
          <w:tcPr>
            <w:tcW w:w="2769" w:type="dxa"/>
            <w:tcMar>
              <w:top w:w="80" w:type="dxa"/>
              <w:left w:w="150" w:type="dxa"/>
              <w:bottom w:w="80" w:type="dxa"/>
              <w:right w:w="150" w:type="dxa"/>
            </w:tcMar>
          </w:tcPr>
          <w:p w14:paraId="7CCADB18">
            <w:pPr>
              <w:jc w:val="center"/>
            </w:pPr>
            <w:r>
              <w:rPr>
                <w:rFonts w:ascii="Times New Roman" w:hAnsi="Times New Roman" w:eastAsia="宋体"/>
                <w:b w:val="0"/>
                <w:i w:val="0"/>
                <w:sz w:val="19"/>
              </w:rPr>
              <w:t>:---</w:t>
            </w:r>
          </w:p>
        </w:tc>
        <w:tc>
          <w:tcPr>
            <w:tcW w:w="2769" w:type="dxa"/>
            <w:tcMar>
              <w:top w:w="80" w:type="dxa"/>
              <w:left w:w="150" w:type="dxa"/>
              <w:bottom w:w="80" w:type="dxa"/>
              <w:right w:w="150" w:type="dxa"/>
            </w:tcMar>
          </w:tcPr>
          <w:p w14:paraId="26C4E0AB">
            <w:pPr>
              <w:jc w:val="center"/>
            </w:pPr>
            <w:r>
              <w:rPr>
                <w:rFonts w:ascii="Times New Roman" w:hAnsi="Times New Roman" w:eastAsia="宋体"/>
                <w:b w:val="0"/>
                <w:i w:val="0"/>
                <w:sz w:val="19"/>
              </w:rPr>
              <w:t>:---</w:t>
            </w:r>
          </w:p>
        </w:tc>
      </w:tr>
      <w:tr w14:paraId="2F0EC077">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rPr>
          <w:jc w:val="center"/>
        </w:trPr>
        <w:tc>
          <w:tcPr>
            <w:tcW w:w="2769" w:type="dxa"/>
            <w:tcMar>
              <w:top w:w="80" w:type="dxa"/>
              <w:left w:w="150" w:type="dxa"/>
              <w:bottom w:w="80" w:type="dxa"/>
              <w:right w:w="150" w:type="dxa"/>
            </w:tcMar>
          </w:tcPr>
          <w:p w14:paraId="2C898A1D">
            <w:pPr>
              <w:jc w:val="left"/>
              <w:rPr>
                <w:rFonts w:ascii="Times New Roman" w:hAnsi="Times New Roman" w:eastAsia="宋体"/>
                <w:b w:val="0"/>
                <w:i w:val="0"/>
                <w:sz w:val="19"/>
              </w:rPr>
            </w:pPr>
            <w:r>
              <w:rPr>
                <w:rFonts w:ascii="Times New Roman" w:hAnsi="Times New Roman" w:eastAsia="宋体"/>
                <w:b/>
                <w:bCs/>
                <w:i w:val="0"/>
                <w:sz w:val="19"/>
              </w:rPr>
              <w:t>性别</w:t>
            </w:r>
            <w:r>
              <w:rPr>
                <w:rFonts w:ascii="Times New Roman" w:hAnsi="Times New Roman" w:eastAsia="宋体"/>
                <w:b w:val="0"/>
                <w:i w:val="0"/>
                <w:sz w:val="19"/>
              </w:rPr>
              <w:t>：男</w:t>
            </w:r>
          </w:p>
          <w:p w14:paraId="55598019">
            <w:pPr>
              <w:jc w:val="left"/>
              <w:rPr>
                <w:rFonts w:ascii="Times New Roman" w:hAnsi="Times New Roman" w:eastAsia="宋体"/>
                <w:b w:val="0"/>
                <w:i w:val="0"/>
                <w:sz w:val="19"/>
              </w:rPr>
            </w:pPr>
            <w:r>
              <w:rPr>
                <w:rFonts w:hint="eastAsia" w:ascii="Times New Roman" w:hAnsi="Times New Roman"/>
                <w:b/>
                <w:bCs/>
                <w:i w:val="0"/>
                <w:sz w:val="19"/>
                <w:lang w:val="en-US" w:eastAsia="zh-CN"/>
              </w:rPr>
              <w:t>年龄</w:t>
            </w:r>
            <w:r>
              <w:rPr>
                <w:rFonts w:ascii="Times New Roman" w:hAnsi="Times New Roman" w:eastAsia="宋体"/>
                <w:b w:val="0"/>
                <w:i w:val="0"/>
                <w:sz w:val="19"/>
              </w:rPr>
              <w:t>：48岁</w:t>
            </w:r>
          </w:p>
          <w:p w14:paraId="72473C32">
            <w:pPr>
              <w:jc w:val="left"/>
              <w:rPr>
                <w:rFonts w:ascii="Times New Roman" w:hAnsi="Times New Roman" w:eastAsia="宋体"/>
                <w:b w:val="0"/>
                <w:i w:val="0"/>
                <w:sz w:val="19"/>
              </w:rPr>
            </w:pPr>
            <w:r>
              <w:rPr>
                <w:rFonts w:ascii="Times New Roman" w:hAnsi="Times New Roman" w:eastAsia="宋体"/>
                <w:b/>
                <w:bCs/>
                <w:i w:val="0"/>
                <w:sz w:val="19"/>
              </w:rPr>
              <w:t>昨晚睡眠</w:t>
            </w:r>
            <w:r>
              <w:rPr>
                <w:rFonts w:ascii="Times New Roman" w:hAnsi="Times New Roman" w:eastAsia="宋体"/>
                <w:b w:val="0"/>
                <w:i w:val="0"/>
                <w:sz w:val="19"/>
              </w:rPr>
              <w:t>：4.2小时（严重偏低）</w:t>
            </w:r>
          </w:p>
          <w:p w14:paraId="37A56A00">
            <w:pPr>
              <w:jc w:val="left"/>
            </w:pPr>
            <w:r>
              <w:rPr>
                <w:rFonts w:ascii="Times New Roman" w:hAnsi="Times New Roman" w:eastAsia="宋体"/>
                <w:b/>
                <w:bCs/>
                <w:i w:val="0"/>
                <w:sz w:val="19"/>
              </w:rPr>
              <w:t>今日静息心率</w:t>
            </w:r>
            <w:r>
              <w:rPr>
                <w:rFonts w:ascii="Times New Roman" w:hAnsi="Times New Roman" w:eastAsia="宋体"/>
                <w:b w:val="0"/>
                <w:i w:val="0"/>
                <w:sz w:val="19"/>
              </w:rPr>
              <w:t>：84 bpm（偏高</w:t>
            </w:r>
            <w:r>
              <w:rPr>
                <w:rFonts w:hint="eastAsia" w:ascii="Times New Roman" w:hAnsi="Times New Roman"/>
                <w:b w:val="0"/>
                <w:i w:val="0"/>
                <w:sz w:val="19"/>
                <w:lang w:eastAsia="zh-CN"/>
              </w:rPr>
              <w:t>）</w:t>
            </w:r>
            <w:r>
              <w:rPr>
                <w:rFonts w:ascii="Times New Roman" w:hAnsi="Times New Roman" w:eastAsia="宋体"/>
                <w:b/>
                <w:bCs/>
                <w:i w:val="0"/>
                <w:sz w:val="19"/>
              </w:rPr>
              <w:t>诉求</w:t>
            </w:r>
            <w:r>
              <w:rPr>
                <w:rFonts w:ascii="Times New Roman" w:hAnsi="Times New Roman" w:eastAsia="宋体"/>
                <w:b w:val="0"/>
                <w:i w:val="0"/>
                <w:sz w:val="19"/>
              </w:rPr>
              <w:t>：高强度燃脂跑</w:t>
            </w:r>
          </w:p>
        </w:tc>
        <w:tc>
          <w:tcPr>
            <w:tcW w:w="2769" w:type="dxa"/>
            <w:tcMar>
              <w:top w:w="80" w:type="dxa"/>
              <w:left w:w="150" w:type="dxa"/>
              <w:bottom w:w="80" w:type="dxa"/>
              <w:right w:w="150" w:type="dxa"/>
            </w:tcMar>
          </w:tcPr>
          <w:p w14:paraId="50533A8A">
            <w:pPr>
              <w:pStyle w:val="5"/>
              <w:bidi w:val="0"/>
            </w:pPr>
            <w:r>
              <w:rPr>
                <w:rFonts w:ascii="Times New Roman" w:hAnsi="Times New Roman" w:eastAsia="宋体"/>
                <w:b w:val="0"/>
                <w:i w:val="0"/>
                <w:sz w:val="19"/>
              </w:rPr>
              <w:t>根据您昨晚睡眠偏少且静息心率偏高的生理表征，今日</w:t>
            </w:r>
            <w:r>
              <w:rPr>
                <w:rFonts w:ascii="Times New Roman" w:hAnsi="Times New Roman" w:eastAsia="宋体"/>
                <w:b/>
                <w:bCs/>
                <w:i w:val="0"/>
                <w:sz w:val="19"/>
              </w:rPr>
              <w:t>不建议</w:t>
            </w:r>
            <w:r>
              <w:rPr>
                <w:rFonts w:ascii="Times New Roman" w:hAnsi="Times New Roman" w:eastAsia="宋体"/>
                <w:b w:val="0"/>
                <w:i w:val="0"/>
                <w:sz w:val="19"/>
              </w:rPr>
              <w:t xml:space="preserve">进行您原计划的高强度无氧燃脂跑，以防诱发心肌超负荷风险。今日处方调整为：进行 </w:t>
            </w:r>
            <w:r>
              <w:rPr>
                <w:rFonts w:ascii="Times New Roman" w:hAnsi="Times New Roman" w:eastAsia="宋体"/>
                <w:b/>
                <w:bCs/>
                <w:i w:val="0"/>
                <w:sz w:val="19"/>
              </w:rPr>
              <w:t>30分钟低强度有氧慢走（LSD）</w:t>
            </w:r>
            <w:r>
              <w:rPr>
                <w:rFonts w:ascii="Times New Roman" w:hAnsi="Times New Roman" w:eastAsia="宋体"/>
                <w:b w:val="0"/>
                <w:i w:val="0"/>
                <w:sz w:val="19"/>
              </w:rPr>
              <w:t>，靶心率控制在 110-125 bpm 之间，重在身体恢复与代谢维持。</w:t>
            </w:r>
          </w:p>
        </w:tc>
        <w:tc>
          <w:tcPr>
            <w:tcW w:w="2769" w:type="dxa"/>
            <w:tcMar>
              <w:top w:w="80" w:type="dxa"/>
              <w:left w:w="150" w:type="dxa"/>
              <w:bottom w:w="80" w:type="dxa"/>
              <w:right w:w="150" w:type="dxa"/>
            </w:tcMar>
          </w:tcPr>
          <w:p w14:paraId="29E1CCA4">
            <w:pPr>
              <w:jc w:val="left"/>
            </w:pPr>
            <w:r>
              <w:rPr>
                <w:rFonts w:ascii="Times New Roman" w:hAnsi="Times New Roman" w:eastAsia="宋体"/>
                <w:b w:val="0"/>
                <w:i w:val="0"/>
                <w:sz w:val="19"/>
              </w:rPr>
              <w:t>好的，已为您开启燃脂跑步模式。今天请坚持跑完 5 公里，配速目标 5 分钟，加油坚持就是胜利！</w:t>
            </w:r>
          </w:p>
        </w:tc>
      </w:tr>
    </w:tbl>
    <w:p w14:paraId="07C46B68"/>
    <w:p w14:paraId="30254607">
      <w:pPr>
        <w:pStyle w:val="4"/>
        <w:bidi w:val="0"/>
      </w:pPr>
      <w:r>
        <w:t>3.2 陪伴创新：基于 GPT-SoVITS 的声音克隆及情感交互</w:t>
      </w:r>
    </w:p>
    <w:p w14:paraId="30224F95">
      <w:pPr>
        <w:spacing w:before="40" w:after="120" w:line="300" w:lineRule="auto"/>
      </w:pPr>
      <w:r>
        <w:rPr>
          <w:rFonts w:ascii="Times New Roman" w:hAnsi="Times New Roman" w:eastAsia="宋体"/>
          <w:b w:val="0"/>
          <w:i w:val="0"/>
          <w:sz w:val="21"/>
        </w:rPr>
        <w:t xml:space="preserve">用户在运动时，心理层面的“孤独感”和“疲惫感”是导致其无法坚持的主因。本系统一改传统 TTS 机械的语调，引入云端 GPU 实时加速的 </w:t>
      </w:r>
      <w:r>
        <w:rPr>
          <w:rFonts w:ascii="Times New Roman" w:hAnsi="Times New Roman" w:eastAsia="宋体"/>
          <w:b/>
          <w:i w:val="0"/>
          <w:sz w:val="21"/>
        </w:rPr>
        <w:t>GPT-SoVITS</w:t>
      </w:r>
      <w:r>
        <w:rPr>
          <w:rFonts w:ascii="Times New Roman" w:hAnsi="Times New Roman" w:eastAsia="宋体"/>
          <w:b w:val="0"/>
          <w:i w:val="0"/>
          <w:sz w:val="21"/>
        </w:rPr>
        <w:t xml:space="preserve"> 声音克隆系统。</w:t>
      </w:r>
    </w:p>
    <w:p w14:paraId="52BE6708">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i w:val="0"/>
          <w:sz w:val="21"/>
        </w:rPr>
        <w:t>极少样本克隆</w:t>
      </w:r>
      <w:r>
        <w:rPr>
          <w:rFonts w:ascii="Times New Roman" w:hAnsi="Times New Roman" w:eastAsia="宋体"/>
          <w:b w:val="0"/>
          <w:i w:val="0"/>
          <w:sz w:val="21"/>
        </w:rPr>
        <w:t>：用户只需上传一段 5 秒的有效目标声音音频（如教练、恋人、动漫角色甚至已逝去亲人的生前录音），系统就能精确还原其音色、情绪与语调起伏。</w:t>
      </w:r>
    </w:p>
    <w:p w14:paraId="583AAE80">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i w:val="0"/>
          <w:sz w:val="21"/>
        </w:rPr>
        <w:t>情感条件自回归生成</w:t>
      </w:r>
      <w:r>
        <w:rPr>
          <w:rFonts w:ascii="Times New Roman" w:hAnsi="Times New Roman" w:eastAsia="宋体"/>
          <w:b w:val="0"/>
          <w:i w:val="0"/>
          <w:sz w:val="21"/>
        </w:rPr>
        <w:t>：伴跑教练的语速和语调会根据用户的实时心率动态生成。</w:t>
      </w:r>
    </w:p>
    <w:p w14:paraId="0D31724D">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心率平稳（&lt;120 bpm）时，伴跑声音温和闲适，聊一些日常话题；</w:t>
      </w:r>
    </w:p>
    <w:p w14:paraId="2BD442D3">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达到靶心率上限（&gt;165 bpm）时，伴跑声音充满警示与急促感（“心率太高了，听我的，深呼吸，慢下来！”）；</w:t>
      </w:r>
    </w:p>
    <w:p w14:paraId="39D50EE5">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冲刺阶段（最后 200 米）时，伴跑声音高亢激昂（“冲啊！只剩最后十秒了！”）。这种情绪的动态反馈提供了前所未有的“情绪价值”。</w:t>
      </w:r>
    </w:p>
    <w:p w14:paraId="6CD70C8B">
      <w:pPr>
        <w:pStyle w:val="4"/>
        <w:bidi w:val="0"/>
      </w:pPr>
      <w:r>
        <w:t>3.3 架构创新：“数据不落地”的前端代理中转模式</w:t>
      </w:r>
    </w:p>
    <w:p w14:paraId="79396E51">
      <w:pPr>
        <w:spacing w:before="40" w:after="120" w:line="300" w:lineRule="auto"/>
      </w:pPr>
      <w:r>
        <w:rPr>
          <w:rFonts w:ascii="Times New Roman" w:hAnsi="Times New Roman" w:eastAsia="宋体"/>
          <w:b w:val="0"/>
          <w:i w:val="0"/>
          <w:sz w:val="21"/>
        </w:rPr>
        <w:t>面对我国日益严格的《数据安全法》与《个人信息保护法》，尤其在面对高校学生群体时，传统的第三方商业 App 将所有隐私数据保存在自己云端的方式，面临极高的数据合规红线。</w:t>
      </w:r>
    </w:p>
    <w:p w14:paraId="6C181797">
      <w:pPr>
        <w:spacing w:before="40" w:after="120" w:line="300" w:lineRule="auto"/>
        <w:rPr>
          <w:rFonts w:ascii="Times New Roman" w:hAnsi="Times New Roman" w:eastAsia="宋体"/>
          <w:b w:val="0"/>
          <w:i w:val="0"/>
          <w:sz w:val="21"/>
        </w:rPr>
      </w:pPr>
      <w:r>
        <w:rPr>
          <w:rFonts w:ascii="Times New Roman" w:hAnsi="Times New Roman" w:eastAsia="宋体"/>
          <w:b w:val="0"/>
          <w:i w:val="0"/>
          <w:sz w:val="21"/>
        </w:rPr>
        <w:t>Flying Run 在核心业务逻辑上重构了数据流链路。系统将 App 定位为纯粹的“富前端交互代理”。数据处理机制如下：</w:t>
      </w:r>
    </w:p>
    <w:p w14:paraId="09297251">
      <w:pPr>
        <w:spacing w:before="40" w:after="120" w:line="300" w:lineRule="auto"/>
        <w:rPr>
          <w:rFonts w:hint="eastAsia" w:ascii="Times New Roman" w:hAnsi="Times New Roman" w:eastAsia="宋体"/>
          <w:b w:val="0"/>
          <w:i w:val="0"/>
          <w:sz w:val="21"/>
          <w:lang w:eastAsia="zh-CN"/>
        </w:rPr>
      </w:pPr>
      <w:r>
        <w:rPr>
          <w:rFonts w:hint="eastAsia" w:ascii="Times New Roman" w:hAnsi="Times New Roman" w:eastAsia="宋体"/>
          <w:b w:val="0"/>
          <w:i w:val="0"/>
          <w:sz w:val="21"/>
          <w:lang w:eastAsia="zh-CN"/>
        </w:rPr>
        <w:drawing>
          <wp:inline distT="0" distB="0" distL="114300" distR="114300">
            <wp:extent cx="5269865" cy="3128645"/>
            <wp:effectExtent l="0" t="0" r="6985" b="14605"/>
            <wp:docPr id="9" name="图片 9" descr="360截图20260609132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60截图20260609132012"/>
                    <pic:cNvPicPr>
                      <a:picLocks noChangeAspect="1"/>
                    </pic:cNvPicPr>
                  </pic:nvPicPr>
                  <pic:blipFill>
                    <a:blip r:embed="rId10"/>
                    <a:stretch>
                      <a:fillRect/>
                    </a:stretch>
                  </pic:blipFill>
                  <pic:spPr>
                    <a:xfrm>
                      <a:off x="0" y="0"/>
                      <a:ext cx="5269865" cy="3128645"/>
                    </a:xfrm>
                    <a:prstGeom prst="rect">
                      <a:avLst/>
                    </a:prstGeom>
                  </pic:spPr>
                </pic:pic>
              </a:graphicData>
            </a:graphic>
          </wp:inline>
        </w:drawing>
      </w:r>
    </w:p>
    <w:p w14:paraId="48E0E2D3">
      <w:pPr>
        <w:spacing w:before="40" w:after="120" w:line="300" w:lineRule="auto"/>
      </w:pPr>
      <w:r>
        <w:rPr>
          <w:rFonts w:ascii="Times New Roman" w:hAnsi="Times New Roman" w:eastAsia="宋体"/>
          <w:b w:val="0"/>
          <w:i w:val="0"/>
          <w:sz w:val="21"/>
        </w:rPr>
        <w:t>这一架构消除了第三方平台的数据库中介地位，对校方而言，彻底打消了商业合规顾虑；对学生而言，所有敏感轨迹只留在校内，保障了隐私安全。</w:t>
      </w:r>
    </w:p>
    <w:p w14:paraId="0BE30542">
      <w:pPr>
        <w:pStyle w:val="4"/>
        <w:bidi w:val="0"/>
      </w:pPr>
      <w:r>
        <w:t>3.4 趋势融合：AI 陪伴演进趋势与本系统的融合路径</w:t>
      </w:r>
    </w:p>
    <w:p w14:paraId="2C1B10EC">
      <w:pPr>
        <w:spacing w:before="40" w:after="120" w:line="300" w:lineRule="auto"/>
      </w:pPr>
      <w:r>
        <w:rPr>
          <w:rFonts w:ascii="Times New Roman" w:hAnsi="Times New Roman" w:eastAsia="宋体"/>
          <w:b w:val="0"/>
          <w:i w:val="0"/>
          <w:sz w:val="21"/>
        </w:rPr>
        <w:t>AI 陪伴产业正在经历从</w:t>
      </w:r>
      <w:r>
        <w:rPr>
          <w:rFonts w:hint="eastAsia"/>
          <w:b w:val="0"/>
          <w:i w:val="0"/>
          <w:sz w:val="21"/>
          <w:lang w:eastAsia="zh-CN"/>
        </w:rPr>
        <w:t>“</w:t>
      </w:r>
      <w:r>
        <w:rPr>
          <w:rFonts w:ascii="Times New Roman" w:hAnsi="Times New Roman" w:eastAsia="宋体"/>
          <w:b w:val="0"/>
          <w:i w:val="0"/>
          <w:sz w:val="21"/>
        </w:rPr>
        <w:t>单一工具属性</w:t>
      </w:r>
      <w:r>
        <w:rPr>
          <w:rFonts w:hint="eastAsia"/>
          <w:b w:val="0"/>
          <w:i w:val="0"/>
          <w:sz w:val="21"/>
          <w:lang w:eastAsia="zh-CN"/>
        </w:rPr>
        <w:t>”</w:t>
      </w:r>
      <w:r>
        <w:rPr>
          <w:rFonts w:hint="eastAsia"/>
          <w:b w:val="0"/>
          <w:i w:val="0"/>
          <w:sz w:val="21"/>
          <w:lang w:val="en-US" w:eastAsia="zh-CN"/>
        </w:rPr>
        <w:t>向“</w:t>
      </w:r>
      <w:r>
        <w:rPr>
          <w:rFonts w:ascii="Times New Roman" w:hAnsi="Times New Roman" w:eastAsia="宋体"/>
          <w:b w:val="0"/>
          <w:i w:val="0"/>
          <w:sz w:val="21"/>
        </w:rPr>
        <w:t>情感交互生态</w:t>
      </w:r>
      <w:r>
        <w:rPr>
          <w:rFonts w:hint="eastAsia"/>
          <w:b w:val="0"/>
          <w:i w:val="0"/>
          <w:sz w:val="21"/>
          <w:lang w:eastAsia="zh-CN"/>
        </w:rPr>
        <w:t>”</w:t>
      </w:r>
      <w:r>
        <w:rPr>
          <w:rFonts w:ascii="Times New Roman" w:hAnsi="Times New Roman" w:eastAsia="宋体"/>
          <w:b w:val="0"/>
          <w:i w:val="0"/>
          <w:sz w:val="21"/>
        </w:rPr>
        <w:t>的重大跃迁</w:t>
      </w:r>
      <w:r>
        <w:rPr>
          <w:rFonts w:ascii="Times New Roman" w:hAnsi="Times New Roman" w:eastAsia="宋体"/>
          <w:b w:val="0"/>
          <w:i w:val="0"/>
          <w:sz w:val="21"/>
          <w:vertAlign w:val="superscript"/>
        </w:rPr>
        <w:t>[10]</w:t>
      </w:r>
      <w:r>
        <w:rPr>
          <w:rFonts w:ascii="Times New Roman" w:hAnsi="Times New Roman" w:eastAsia="宋体"/>
          <w:b w:val="0"/>
          <w:i w:val="0"/>
          <w:sz w:val="21"/>
        </w:rPr>
        <w:t>。作为本系统的核心灵魂，</w:t>
      </w:r>
      <w:r>
        <w:rPr>
          <w:rFonts w:ascii="Times New Roman" w:hAnsi="Times New Roman" w:eastAsia="宋体"/>
          <w:b/>
          <w:i w:val="0"/>
          <w:sz w:val="21"/>
        </w:rPr>
        <w:t>AI 陪伴式运动打卡与健康数据监测系统</w:t>
      </w:r>
      <w:r>
        <w:rPr>
          <w:rFonts w:ascii="Times New Roman" w:hAnsi="Times New Roman" w:eastAsia="宋体"/>
          <w:b w:val="0"/>
          <w:i w:val="0"/>
          <w:sz w:val="21"/>
        </w:rPr>
        <w:t>深度契合了以下前沿趋势：</w:t>
      </w:r>
    </w:p>
    <w:p w14:paraId="22DE296E">
      <w:pPr>
        <w:pStyle w:val="5"/>
        <w:bidi w:val="0"/>
      </w:pPr>
      <w:r>
        <w:t>3.4.1 从“文字对话”走向“原生多模态”与“主动关怀”</w:t>
      </w:r>
    </w:p>
    <w:p w14:paraId="684C61DC">
      <w:pPr>
        <w:spacing w:before="40" w:after="120" w:line="300" w:lineRule="auto"/>
      </w:pPr>
      <w:r>
        <w:rPr>
          <w:rFonts w:ascii="Times New Roman" w:hAnsi="Times New Roman" w:eastAsia="宋体"/>
          <w:b w:val="0"/>
          <w:i w:val="0"/>
          <w:sz w:val="21"/>
        </w:rPr>
        <w:t>早期的 AI 陪伴大多局限于文本聊天（如 Character.AI 的纯文字对话框），属于</w:t>
      </w:r>
      <w:r>
        <w:rPr>
          <w:rFonts w:hint="eastAsia"/>
          <w:b w:val="0"/>
          <w:i w:val="0"/>
          <w:sz w:val="21"/>
          <w:lang w:eastAsia="zh-CN"/>
        </w:rPr>
        <w:t>“</w:t>
      </w:r>
      <w:r>
        <w:rPr>
          <w:rFonts w:ascii="Times New Roman" w:hAnsi="Times New Roman" w:eastAsia="宋体"/>
          <w:b w:val="0"/>
          <w:i w:val="0"/>
          <w:sz w:val="21"/>
        </w:rPr>
        <w:t>被动应答模式</w:t>
      </w:r>
      <w:r>
        <w:rPr>
          <w:rFonts w:hint="eastAsia"/>
          <w:b w:val="0"/>
          <w:i w:val="0"/>
          <w:sz w:val="21"/>
          <w:lang w:eastAsia="zh-CN"/>
        </w:rPr>
        <w:t>”</w:t>
      </w:r>
      <w:r>
        <w:rPr>
          <w:rFonts w:ascii="Times New Roman" w:hAnsi="Times New Roman" w:eastAsia="宋体"/>
          <w:b w:val="0"/>
          <w:i w:val="0"/>
          <w:sz w:val="21"/>
        </w:rPr>
        <w:t>。</w:t>
      </w:r>
    </w:p>
    <w:p w14:paraId="538056D8">
      <w:pPr>
        <w:spacing w:before="40" w:after="120" w:line="300" w:lineRule="auto"/>
      </w:pPr>
      <w:r>
        <w:rPr>
          <w:rFonts w:ascii="Times New Roman" w:hAnsi="Times New Roman" w:eastAsia="宋体"/>
          <w:b/>
          <w:i w:val="0"/>
          <w:sz w:val="21"/>
        </w:rPr>
        <w:t>Flying Run 的融合实现</w:t>
      </w:r>
      <w:r>
        <w:rPr>
          <w:rFonts w:ascii="Times New Roman" w:hAnsi="Times New Roman" w:eastAsia="宋体"/>
          <w:b w:val="0"/>
          <w:i w:val="0"/>
          <w:sz w:val="21"/>
        </w:rPr>
        <w:t>：系统抛弃了单模态文字输入，开创性地采用了</w:t>
      </w:r>
      <w:r>
        <w:rPr>
          <w:rFonts w:ascii="Times New Roman" w:hAnsi="Times New Roman" w:eastAsia="宋体"/>
          <w:b/>
          <w:i w:val="0"/>
          <w:sz w:val="21"/>
        </w:rPr>
        <w:t>生理指标与情感语音双向融合的多模态交互</w:t>
      </w:r>
      <w:r>
        <w:rPr>
          <w:rFonts w:ascii="Times New Roman" w:hAnsi="Times New Roman" w:eastAsia="宋体"/>
          <w:b w:val="0"/>
          <w:i w:val="0"/>
          <w:sz w:val="21"/>
        </w:rPr>
        <w:t>。AI 伴跑教练通过智能穿戴硬件感知用户的生理表征（步数、瞬时心率、血氧），结合环境因子（天气、空气指数），无需用户主动打字，即可“主动发起”具有共情语调的语音反馈。这种交互方式由“任务驱动”成功向“关系驱动”演进，重塑了运动中人机共生关系的粘性。</w:t>
      </w:r>
    </w:p>
    <w:p w14:paraId="7A0B5E55">
      <w:pPr>
        <w:pStyle w:val="5"/>
        <w:bidi w:val="0"/>
      </w:pPr>
      <w:r>
        <w:t>3.4.2 情感计算（Affective Computing）与生理特征解耦</w:t>
      </w:r>
    </w:p>
    <w:p w14:paraId="15F9E510">
      <w:pPr>
        <w:spacing w:before="40" w:after="120" w:line="300" w:lineRule="auto"/>
      </w:pPr>
      <w:r>
        <w:rPr>
          <w:rFonts w:ascii="Times New Roman" w:hAnsi="Times New Roman" w:eastAsia="宋体"/>
          <w:b w:val="0"/>
          <w:i w:val="0"/>
          <w:sz w:val="21"/>
        </w:rPr>
        <w:t>情感计算是未来人工智能理解人类情绪的核心基建。目前主流方案多依赖面部表情和语音语气识别情绪，难以应用于高强度运动场景。</w:t>
      </w:r>
    </w:p>
    <w:p w14:paraId="3E8592E5">
      <w:pPr>
        <w:spacing w:before="40" w:after="120" w:line="300" w:lineRule="auto"/>
      </w:pPr>
      <w:r>
        <w:rPr>
          <w:rFonts w:ascii="Times New Roman" w:hAnsi="Times New Roman" w:eastAsia="宋体"/>
          <w:b/>
          <w:i w:val="0"/>
          <w:sz w:val="21"/>
        </w:rPr>
        <w:t>Flying Run 的融合实现</w:t>
      </w:r>
      <w:r>
        <w:rPr>
          <w:rFonts w:ascii="Times New Roman" w:hAnsi="Times New Roman" w:eastAsia="宋体"/>
          <w:b w:val="0"/>
          <w:i w:val="0"/>
          <w:sz w:val="21"/>
        </w:rPr>
        <w:t>：系统首创了</w:t>
      </w:r>
      <w:r>
        <w:rPr>
          <w:rFonts w:ascii="Times New Roman" w:hAnsi="Times New Roman" w:eastAsia="宋体"/>
          <w:b/>
          <w:i w:val="0"/>
          <w:sz w:val="21"/>
        </w:rPr>
        <w:t>“运动生理信号解耦情绪状态”的情感计算模型</w:t>
      </w:r>
      <w:r>
        <w:rPr>
          <w:rFonts w:ascii="Times New Roman" w:hAnsi="Times New Roman" w:eastAsia="宋体"/>
          <w:b w:val="0"/>
          <w:i w:val="0"/>
          <w:sz w:val="21"/>
        </w:rPr>
        <w:t>。智能手环采集到的心率变异性（HRV）、运动加速度波形及呼吸步频比，本身就是用户心理疲劳度、情绪压力和身体极限的直观映射。大模型通过分析这些多维生理时间序列，感知用户是处于“轻快舒适”、“疲劳咬牙坚持”还是“身体濒临极限的惊恐”状态，并自动调节 GPT-SoVITS 合成的语气参数，以最恰当的声音情感给予关怀。</w:t>
      </w:r>
    </w:p>
    <w:p w14:paraId="629A3077">
      <w:pPr>
        <w:pStyle w:val="5"/>
        <w:bidi w:val="0"/>
      </w:pPr>
      <w:r>
        <w:t>3.4.3 关系资产（Relationship Assets）与防“倦怠”游戏化机制</w:t>
      </w:r>
    </w:p>
    <w:p w14:paraId="592FA619">
      <w:pPr>
        <w:spacing w:before="40" w:after="120" w:line="300" w:lineRule="auto"/>
      </w:pPr>
      <w:r>
        <w:rPr>
          <w:rFonts w:ascii="Times New Roman" w:hAnsi="Times New Roman" w:eastAsia="宋体"/>
          <w:b w:val="0"/>
          <w:i w:val="0"/>
          <w:sz w:val="21"/>
        </w:rPr>
        <w:t>在数字社会中，AI 陪伴正在成为用户的心理慰藉和</w:t>
      </w:r>
      <w:r>
        <w:rPr>
          <w:rFonts w:hint="eastAsia"/>
          <w:b w:val="0"/>
          <w:i w:val="0"/>
          <w:sz w:val="21"/>
          <w:lang w:eastAsia="zh-CN"/>
        </w:rPr>
        <w:t>“</w:t>
      </w:r>
      <w:r>
        <w:rPr>
          <w:rFonts w:ascii="Times New Roman" w:hAnsi="Times New Roman" w:eastAsia="宋体"/>
          <w:b w:val="0"/>
          <w:i w:val="0"/>
          <w:sz w:val="21"/>
        </w:rPr>
        <w:t>情绪搭子</w:t>
      </w:r>
      <w:r>
        <w:rPr>
          <w:rFonts w:hint="eastAsia"/>
          <w:b w:val="0"/>
          <w:i w:val="0"/>
          <w:sz w:val="21"/>
          <w:lang w:eastAsia="zh-CN"/>
        </w:rPr>
        <w:t>”</w:t>
      </w:r>
      <w:r>
        <w:rPr>
          <w:rFonts w:ascii="Times New Roman" w:hAnsi="Times New Roman" w:eastAsia="宋体"/>
          <w:b w:val="0"/>
          <w:i w:val="0"/>
          <w:sz w:val="21"/>
        </w:rPr>
        <w:t>。用户愿意为虚拟角色付费，是因为双方建立了长期的信任纽带，这被称为</w:t>
      </w:r>
      <w:r>
        <w:rPr>
          <w:rFonts w:hint="eastAsia"/>
          <w:b w:val="0"/>
          <w:i w:val="0"/>
          <w:sz w:val="21"/>
          <w:lang w:eastAsia="zh-CN"/>
        </w:rPr>
        <w:t>“</w:t>
      </w:r>
      <w:r>
        <w:rPr>
          <w:rFonts w:ascii="Times New Roman" w:hAnsi="Times New Roman" w:eastAsia="宋体"/>
          <w:b w:val="0"/>
          <w:i w:val="0"/>
          <w:sz w:val="21"/>
        </w:rPr>
        <w:t>关系资产</w:t>
      </w:r>
      <w:r>
        <w:rPr>
          <w:rFonts w:hint="eastAsia"/>
          <w:b w:val="0"/>
          <w:i w:val="0"/>
          <w:sz w:val="21"/>
          <w:lang w:eastAsia="zh-CN"/>
        </w:rPr>
        <w:t>”</w:t>
      </w:r>
      <w:r>
        <w:rPr>
          <w:rFonts w:ascii="Times New Roman" w:hAnsi="Times New Roman" w:eastAsia="宋体"/>
          <w:b w:val="0"/>
          <w:i w:val="0"/>
          <w:sz w:val="21"/>
          <w:vertAlign w:val="superscript"/>
        </w:rPr>
        <w:t>[10]</w:t>
      </w:r>
      <w:r>
        <w:rPr>
          <w:rFonts w:ascii="Times New Roman" w:hAnsi="Times New Roman" w:eastAsia="宋体"/>
          <w:b w:val="0"/>
          <w:i w:val="0"/>
          <w:sz w:val="21"/>
        </w:rPr>
        <w:t>。</w:t>
      </w:r>
    </w:p>
    <w:p w14:paraId="732ADADB">
      <w:pPr>
        <w:spacing w:before="40" w:after="120" w:line="300" w:lineRule="auto"/>
      </w:pPr>
      <w:r>
        <w:rPr>
          <w:rFonts w:ascii="Times New Roman" w:hAnsi="Times New Roman" w:eastAsia="宋体"/>
          <w:b/>
          <w:i w:val="0"/>
          <w:sz w:val="21"/>
        </w:rPr>
        <w:t>Flying Run 的融合实现</w:t>
      </w:r>
      <w:r>
        <w:rPr>
          <w:rFonts w:ascii="Times New Roman" w:hAnsi="Times New Roman" w:eastAsia="宋体"/>
          <w:b w:val="0"/>
          <w:i w:val="0"/>
          <w:sz w:val="21"/>
        </w:rPr>
        <w:t>：系统将这一心理学机制应用到长周期体育锻炼中。当用户通过声音克隆复刻了恋人、亲人或支持者的声音，伴跑就从</w:t>
      </w:r>
      <w:r>
        <w:rPr>
          <w:rFonts w:hint="eastAsia"/>
          <w:b w:val="0"/>
          <w:i w:val="0"/>
          <w:sz w:val="21"/>
          <w:lang w:eastAsia="zh-CN"/>
        </w:rPr>
        <w:t>“</w:t>
      </w:r>
      <w:r>
        <w:rPr>
          <w:rFonts w:ascii="Times New Roman" w:hAnsi="Times New Roman" w:eastAsia="宋体"/>
          <w:b w:val="0"/>
          <w:i w:val="0"/>
          <w:sz w:val="21"/>
        </w:rPr>
        <w:t>外界施加的身体纪律约束</w:t>
      </w:r>
      <w:r>
        <w:rPr>
          <w:rFonts w:hint="eastAsia"/>
          <w:b w:val="0"/>
          <w:i w:val="0"/>
          <w:sz w:val="21"/>
          <w:lang w:eastAsia="zh-CN"/>
        </w:rPr>
        <w:t>”</w:t>
      </w:r>
      <w:r>
        <w:rPr>
          <w:rFonts w:ascii="Times New Roman" w:hAnsi="Times New Roman" w:eastAsia="宋体"/>
          <w:b w:val="0"/>
          <w:i w:val="0"/>
          <w:sz w:val="21"/>
        </w:rPr>
        <w:t>转化为</w:t>
      </w:r>
      <w:r>
        <w:rPr>
          <w:rFonts w:hint="eastAsia"/>
          <w:b w:val="0"/>
          <w:i w:val="0"/>
          <w:sz w:val="21"/>
          <w:lang w:eastAsia="zh-CN"/>
        </w:rPr>
        <w:t>“</w:t>
      </w:r>
      <w:r>
        <w:rPr>
          <w:rFonts w:ascii="Times New Roman" w:hAnsi="Times New Roman" w:eastAsia="宋体"/>
          <w:b w:val="0"/>
          <w:i w:val="0"/>
          <w:sz w:val="21"/>
        </w:rPr>
        <w:t>与亲密关系共同度过的温暖时光</w:t>
      </w:r>
      <w:r>
        <w:rPr>
          <w:rFonts w:hint="eastAsia"/>
          <w:b w:val="0"/>
          <w:i w:val="0"/>
          <w:sz w:val="21"/>
          <w:lang w:eastAsia="zh-CN"/>
        </w:rPr>
        <w:t>”</w:t>
      </w:r>
      <w:r>
        <w:rPr>
          <w:rFonts w:ascii="Times New Roman" w:hAnsi="Times New Roman" w:eastAsia="宋体"/>
          <w:b w:val="0"/>
          <w:i w:val="0"/>
          <w:sz w:val="21"/>
        </w:rPr>
        <w:t>。系统设计了“记忆保留机制”，AI 教练会记住用户上一周的抱怨（例如：“我的膝盖有点酸”），在下一周跑步开始时主动关切询问。这种跨时间的记忆锚定让 AI 伴跑教练具备了真正的生命质感，有效对抗长期运动的懈怠心理。</w:t>
      </w:r>
    </w:p>
    <w:p w14:paraId="5A2B3E24">
      <w:pPr>
        <w:pStyle w:val="5"/>
        <w:bidi w:val="0"/>
      </w:pPr>
      <w:r>
        <w:t>3.4.4 伦理红线、数据主权与“数据不落地”原则</w:t>
      </w:r>
    </w:p>
    <w:p w14:paraId="3136C417">
      <w:pPr>
        <w:spacing w:before="40" w:after="120" w:line="300" w:lineRule="auto"/>
      </w:pPr>
      <w:r>
        <w:rPr>
          <w:rFonts w:ascii="Times New Roman" w:hAnsi="Times New Roman" w:eastAsia="宋体"/>
          <w:b w:val="0"/>
          <w:i w:val="0"/>
          <w:sz w:val="21"/>
        </w:rPr>
        <w:t>随着 AI 陪伴的深化，AI 搜集的个人行为偏好、情绪特征等极度私密的数据，如果存放在第三方商业公司的云端，将面临极高的伦理质疑和隐私泄露红线，这促使全球对情绪感知和隐私安全进行立法强规。</w:t>
      </w:r>
    </w:p>
    <w:p w14:paraId="1809018D">
      <w:pPr>
        <w:spacing w:before="40" w:after="120" w:line="300" w:lineRule="auto"/>
      </w:pPr>
      <w:r>
        <w:rPr>
          <w:rFonts w:ascii="Times New Roman" w:hAnsi="Times New Roman" w:eastAsia="宋体"/>
          <w:b/>
          <w:i w:val="0"/>
          <w:sz w:val="21"/>
        </w:rPr>
        <w:t>Flying Run 的融合实现</w:t>
      </w:r>
      <w:r>
        <w:rPr>
          <w:rFonts w:ascii="Times New Roman" w:hAnsi="Times New Roman" w:eastAsia="宋体"/>
          <w:b w:val="0"/>
          <w:i w:val="0"/>
          <w:sz w:val="21"/>
        </w:rPr>
        <w:t>：系统在设计之初就预见性地提出了“数据不落地”的前端中转架构。所有的运动行踪、学籍身份、细颗粒度体征均保存在学校或社区医院本地，云端仅在内存中进行实时的脱敏推理计算，不存储任何可能溯源到真实个体的行为资产。在保护隐私的绝对前提下，实现了高粘度的情感陪伴。</w:t>
      </w:r>
    </w:p>
    <w:p w14:paraId="5779EB24">
      <w:r>
        <w:br w:type="page"/>
      </w:r>
    </w:p>
    <w:p w14:paraId="0B5CB76D">
      <w:pPr>
        <w:pStyle w:val="3"/>
        <w:bidi w:val="0"/>
      </w:pPr>
      <w:r>
        <w:t>第四章 商业模式分析</w:t>
      </w:r>
    </w:p>
    <w:p w14:paraId="0D5901DE">
      <w:pPr>
        <w:pStyle w:val="4"/>
        <w:bidi w:val="0"/>
      </w:pPr>
      <w:r>
        <w:t>4.1 核心盈利矩阵</w:t>
      </w:r>
    </w:p>
    <w:p w14:paraId="6BF3F649">
      <w:pPr>
        <w:spacing w:before="40" w:after="120" w:line="300" w:lineRule="auto"/>
      </w:pPr>
      <w:r>
        <w:rPr>
          <w:rFonts w:ascii="Times New Roman" w:hAnsi="Times New Roman" w:eastAsia="宋体"/>
          <w:b w:val="0"/>
          <w:i w:val="0"/>
          <w:sz w:val="21"/>
        </w:rPr>
        <w:t>Flying Run 通过 B、</w:t>
      </w:r>
      <w:r>
        <w:rPr>
          <w:rFonts w:hint="eastAsia"/>
          <w:b w:val="0"/>
          <w:i w:val="0"/>
          <w:sz w:val="21"/>
          <w:lang w:val="en-US" w:eastAsia="zh-CN"/>
        </w:rPr>
        <w:t>A</w:t>
      </w:r>
      <w:r>
        <w:rPr>
          <w:rFonts w:ascii="Times New Roman" w:hAnsi="Times New Roman" w:eastAsia="宋体"/>
          <w:b w:val="0"/>
          <w:i w:val="0"/>
          <w:sz w:val="21"/>
        </w:rPr>
        <w:t>、C 三端联动的商业模式，实现持续的盈利与自我造血能力：</w:t>
      </w:r>
    </w:p>
    <w:p w14:paraId="1D9D16CE">
      <w:pPr>
        <w:pStyle w:val="5"/>
        <w:bidi w:val="0"/>
      </w:pPr>
      <w:r>
        <w:t>4.1.1 业务模式与客单价矩阵</w:t>
      </w:r>
    </w:p>
    <w:tbl>
      <w:tblPr>
        <w:tblStyle w:val="13"/>
        <w:tblW w:w="0" w:type="auto"/>
        <w:jc w:val="center"/>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Layout w:type="autofit"/>
        <w:tblCellMar>
          <w:top w:w="0" w:type="dxa"/>
          <w:left w:w="108" w:type="dxa"/>
          <w:bottom w:w="0" w:type="dxa"/>
          <w:right w:w="108" w:type="dxa"/>
        </w:tblCellMar>
      </w:tblPr>
      <w:tblGrid>
        <w:gridCol w:w="2076"/>
        <w:gridCol w:w="2076"/>
        <w:gridCol w:w="2076"/>
        <w:gridCol w:w="2076"/>
      </w:tblGrid>
      <w:tr w14:paraId="50F775DE">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rPr>
          <w:jc w:val="center"/>
        </w:trPr>
        <w:tc>
          <w:tcPr>
            <w:tcW w:w="2076" w:type="dxa"/>
            <w:shd w:val="clear" w:color="auto" w:fill="F2F2F2"/>
            <w:tcMar>
              <w:top w:w="100" w:type="dxa"/>
              <w:left w:w="150" w:type="dxa"/>
              <w:bottom w:w="100" w:type="dxa"/>
              <w:right w:w="150" w:type="dxa"/>
            </w:tcMar>
          </w:tcPr>
          <w:p w14:paraId="0B23B91F">
            <w:pPr>
              <w:jc w:val="center"/>
            </w:pPr>
            <w:r>
              <w:rPr>
                <w:rFonts w:ascii="Times New Roman" w:hAnsi="Times New Roman" w:eastAsia="微软雅黑"/>
                <w:b/>
                <w:i w:val="0"/>
                <w:sz w:val="20"/>
              </w:rPr>
              <w:t>业务方向</w:t>
            </w:r>
          </w:p>
        </w:tc>
        <w:tc>
          <w:tcPr>
            <w:tcW w:w="2076" w:type="dxa"/>
            <w:shd w:val="clear" w:color="auto" w:fill="F2F2F2"/>
            <w:tcMar>
              <w:top w:w="100" w:type="dxa"/>
              <w:left w:w="150" w:type="dxa"/>
              <w:bottom w:w="100" w:type="dxa"/>
              <w:right w:w="150" w:type="dxa"/>
            </w:tcMar>
          </w:tcPr>
          <w:p w14:paraId="607AA5A7">
            <w:pPr>
              <w:jc w:val="center"/>
            </w:pPr>
            <w:r>
              <w:rPr>
                <w:rFonts w:ascii="Times New Roman" w:hAnsi="Times New Roman" w:eastAsia="微软雅黑"/>
                <w:b/>
                <w:i w:val="0"/>
                <w:sz w:val="20"/>
              </w:rPr>
              <w:t>目标客户</w:t>
            </w:r>
          </w:p>
        </w:tc>
        <w:tc>
          <w:tcPr>
            <w:tcW w:w="2076" w:type="dxa"/>
            <w:shd w:val="clear" w:color="auto" w:fill="F2F2F2"/>
            <w:tcMar>
              <w:top w:w="100" w:type="dxa"/>
              <w:left w:w="150" w:type="dxa"/>
              <w:bottom w:w="100" w:type="dxa"/>
              <w:right w:w="150" w:type="dxa"/>
            </w:tcMar>
          </w:tcPr>
          <w:p w14:paraId="439EDD23">
            <w:pPr>
              <w:jc w:val="center"/>
            </w:pPr>
            <w:r>
              <w:rPr>
                <w:rFonts w:ascii="Times New Roman" w:hAnsi="Times New Roman" w:eastAsia="微软雅黑"/>
                <w:b/>
                <w:i w:val="0"/>
                <w:sz w:val="20"/>
              </w:rPr>
              <w:t>收费模式与计费细节</w:t>
            </w:r>
          </w:p>
        </w:tc>
        <w:tc>
          <w:tcPr>
            <w:tcW w:w="2076" w:type="dxa"/>
            <w:shd w:val="clear" w:color="auto" w:fill="F2F2F2"/>
            <w:tcMar>
              <w:top w:w="100" w:type="dxa"/>
              <w:left w:w="150" w:type="dxa"/>
              <w:bottom w:w="100" w:type="dxa"/>
              <w:right w:w="150" w:type="dxa"/>
            </w:tcMar>
          </w:tcPr>
          <w:p w14:paraId="4168EE86">
            <w:pPr>
              <w:jc w:val="center"/>
            </w:pPr>
            <w:r>
              <w:rPr>
                <w:rFonts w:ascii="Times New Roman" w:hAnsi="Times New Roman" w:eastAsia="微软雅黑"/>
                <w:b/>
                <w:i w:val="0"/>
                <w:sz w:val="20"/>
              </w:rPr>
              <w:t>估算单价 / 订阅费</w:t>
            </w:r>
          </w:p>
        </w:tc>
      </w:tr>
      <w:tr w14:paraId="1C63E120">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rPr>
          <w:jc w:val="center"/>
        </w:trPr>
        <w:tc>
          <w:tcPr>
            <w:tcW w:w="2076" w:type="dxa"/>
            <w:tcMar>
              <w:top w:w="80" w:type="dxa"/>
              <w:left w:w="150" w:type="dxa"/>
              <w:bottom w:w="80" w:type="dxa"/>
              <w:right w:w="150" w:type="dxa"/>
            </w:tcMar>
          </w:tcPr>
          <w:p w14:paraId="7D46D600">
            <w:pPr>
              <w:jc w:val="center"/>
            </w:pPr>
            <w:r>
              <w:rPr>
                <w:rFonts w:ascii="Times New Roman" w:hAnsi="Times New Roman" w:eastAsia="宋体"/>
                <w:b w:val="0"/>
                <w:i w:val="0"/>
                <w:sz w:val="19"/>
              </w:rPr>
              <w:t>:---</w:t>
            </w:r>
          </w:p>
        </w:tc>
        <w:tc>
          <w:tcPr>
            <w:tcW w:w="2076" w:type="dxa"/>
            <w:tcMar>
              <w:top w:w="80" w:type="dxa"/>
              <w:left w:w="150" w:type="dxa"/>
              <w:bottom w:w="80" w:type="dxa"/>
              <w:right w:w="150" w:type="dxa"/>
            </w:tcMar>
          </w:tcPr>
          <w:p w14:paraId="2DA4E3E0">
            <w:pPr>
              <w:jc w:val="center"/>
            </w:pPr>
            <w:r>
              <w:rPr>
                <w:rFonts w:ascii="Times New Roman" w:hAnsi="Times New Roman" w:eastAsia="宋体"/>
                <w:b w:val="0"/>
                <w:i w:val="0"/>
                <w:sz w:val="19"/>
              </w:rPr>
              <w:t>:---</w:t>
            </w:r>
          </w:p>
        </w:tc>
        <w:tc>
          <w:tcPr>
            <w:tcW w:w="2076" w:type="dxa"/>
            <w:tcMar>
              <w:top w:w="80" w:type="dxa"/>
              <w:left w:w="150" w:type="dxa"/>
              <w:bottom w:w="80" w:type="dxa"/>
              <w:right w:w="150" w:type="dxa"/>
            </w:tcMar>
          </w:tcPr>
          <w:p w14:paraId="036BE2B9">
            <w:pPr>
              <w:jc w:val="center"/>
            </w:pPr>
            <w:r>
              <w:rPr>
                <w:rFonts w:ascii="Times New Roman" w:hAnsi="Times New Roman" w:eastAsia="宋体"/>
                <w:b w:val="0"/>
                <w:i w:val="0"/>
                <w:sz w:val="19"/>
              </w:rPr>
              <w:t>:---</w:t>
            </w:r>
          </w:p>
        </w:tc>
        <w:tc>
          <w:tcPr>
            <w:tcW w:w="2076" w:type="dxa"/>
            <w:tcMar>
              <w:top w:w="80" w:type="dxa"/>
              <w:left w:w="150" w:type="dxa"/>
              <w:bottom w:w="80" w:type="dxa"/>
              <w:right w:w="150" w:type="dxa"/>
            </w:tcMar>
          </w:tcPr>
          <w:p w14:paraId="47A29DD0">
            <w:pPr>
              <w:jc w:val="center"/>
            </w:pPr>
            <w:r>
              <w:rPr>
                <w:rFonts w:ascii="Times New Roman" w:hAnsi="Times New Roman" w:eastAsia="宋体"/>
                <w:b w:val="0"/>
                <w:i w:val="0"/>
                <w:sz w:val="19"/>
              </w:rPr>
              <w:t>:---</w:t>
            </w:r>
          </w:p>
        </w:tc>
      </w:tr>
      <w:tr w14:paraId="349D31E3">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rPr>
          <w:jc w:val="center"/>
        </w:trPr>
        <w:tc>
          <w:tcPr>
            <w:tcW w:w="2076" w:type="dxa"/>
            <w:tcMar>
              <w:top w:w="80" w:type="dxa"/>
              <w:left w:w="150" w:type="dxa"/>
              <w:bottom w:w="80" w:type="dxa"/>
              <w:right w:w="150" w:type="dxa"/>
            </w:tcMar>
          </w:tcPr>
          <w:p w14:paraId="3DFC0713">
            <w:pPr>
              <w:jc w:val="center"/>
              <w:rPr>
                <w:rFonts w:ascii="Times New Roman" w:hAnsi="Times New Roman" w:eastAsia="宋体"/>
                <w:b w:val="0"/>
                <w:i w:val="0"/>
                <w:sz w:val="19"/>
              </w:rPr>
            </w:pPr>
          </w:p>
          <w:p w14:paraId="1FD0428E">
            <w:pPr>
              <w:jc w:val="center"/>
              <w:rPr>
                <w:rFonts w:ascii="Times New Roman" w:hAnsi="Times New Roman" w:eastAsia="宋体"/>
                <w:b w:val="0"/>
                <w:i w:val="0"/>
                <w:sz w:val="19"/>
              </w:rPr>
            </w:pPr>
          </w:p>
          <w:p w14:paraId="4B5BCAB0">
            <w:pPr>
              <w:jc w:val="center"/>
            </w:pPr>
            <w:r>
              <w:rPr>
                <w:rFonts w:hint="eastAsia"/>
                <w:b w:val="0"/>
                <w:i w:val="0"/>
                <w:sz w:val="19"/>
                <w:lang w:val="en-US" w:eastAsia="zh-CN"/>
              </w:rPr>
              <w:t>B</w:t>
            </w:r>
            <w:r>
              <w:rPr>
                <w:rFonts w:ascii="Times New Roman" w:hAnsi="Times New Roman" w:eastAsia="宋体"/>
                <w:b w:val="0"/>
                <w:i w:val="0"/>
                <w:sz w:val="19"/>
              </w:rPr>
              <w:t>端（智慧校园）</w:t>
            </w:r>
          </w:p>
        </w:tc>
        <w:tc>
          <w:tcPr>
            <w:tcW w:w="2076" w:type="dxa"/>
            <w:tcMar>
              <w:top w:w="80" w:type="dxa"/>
              <w:left w:w="150" w:type="dxa"/>
              <w:bottom w:w="80" w:type="dxa"/>
              <w:right w:w="150" w:type="dxa"/>
            </w:tcMar>
          </w:tcPr>
          <w:p w14:paraId="3523CA84">
            <w:pPr>
              <w:jc w:val="center"/>
            </w:pPr>
            <w:r>
              <w:rPr>
                <w:rFonts w:ascii="Times New Roman" w:hAnsi="Times New Roman" w:eastAsia="宋体"/>
                <w:b w:val="0"/>
                <w:i w:val="0"/>
                <w:sz w:val="19"/>
              </w:rPr>
              <w:t>中高等院校体育教务部门</w:t>
            </w:r>
          </w:p>
        </w:tc>
        <w:tc>
          <w:tcPr>
            <w:tcW w:w="2076" w:type="dxa"/>
            <w:tcMar>
              <w:top w:w="80" w:type="dxa"/>
              <w:left w:w="150" w:type="dxa"/>
              <w:bottom w:w="80" w:type="dxa"/>
              <w:right w:w="150" w:type="dxa"/>
            </w:tcMar>
          </w:tcPr>
          <w:p w14:paraId="0D7C9B63">
            <w:pPr>
              <w:jc w:val="center"/>
            </w:pPr>
            <w:r>
              <w:rPr>
                <w:rFonts w:ascii="Times New Roman" w:hAnsi="Times New Roman" w:eastAsia="宋体"/>
                <w:b w:val="0"/>
                <w:i w:val="0"/>
                <w:sz w:val="19"/>
              </w:rPr>
              <w:t>提供防作弊校园跑系统 SaaS 平台年订阅费；按年/按学生人数收取技术接口与内网数据库路由服务费。</w:t>
            </w:r>
          </w:p>
        </w:tc>
        <w:tc>
          <w:tcPr>
            <w:tcW w:w="2076" w:type="dxa"/>
            <w:tcMar>
              <w:top w:w="80" w:type="dxa"/>
              <w:left w:w="150" w:type="dxa"/>
              <w:bottom w:w="80" w:type="dxa"/>
              <w:right w:w="150" w:type="dxa"/>
            </w:tcMar>
          </w:tcPr>
          <w:p w14:paraId="2C32CE23">
            <w:pPr>
              <w:jc w:val="center"/>
            </w:pPr>
            <w:r>
              <w:rPr>
                <w:rFonts w:ascii="Times New Roman" w:hAnsi="Times New Roman" w:eastAsia="宋体"/>
                <w:b w:val="0"/>
                <w:i w:val="0"/>
                <w:sz w:val="19"/>
              </w:rPr>
              <w:t xml:space="preserve">平均每所高校 </w:t>
            </w:r>
            <w:r>
              <w:rPr>
                <w:rFonts w:hint="eastAsia"/>
                <w:b/>
                <w:bCs/>
                <w:i w:val="0"/>
                <w:sz w:val="19"/>
                <w:lang w:val="en-US" w:eastAsia="zh-CN"/>
              </w:rPr>
              <w:t>3</w:t>
            </w:r>
            <w:r>
              <w:rPr>
                <w:rFonts w:ascii="Times New Roman" w:hAnsi="Times New Roman" w:eastAsia="宋体"/>
                <w:b/>
                <w:bCs/>
                <w:i w:val="0"/>
                <w:sz w:val="19"/>
              </w:rPr>
              <w:t>万元 / 年</w:t>
            </w:r>
          </w:p>
        </w:tc>
      </w:tr>
      <w:tr w14:paraId="7573A7FC">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rPr>
          <w:jc w:val="center"/>
        </w:trPr>
        <w:tc>
          <w:tcPr>
            <w:tcW w:w="2076" w:type="dxa"/>
            <w:tcMar>
              <w:top w:w="80" w:type="dxa"/>
              <w:left w:w="150" w:type="dxa"/>
              <w:bottom w:w="80" w:type="dxa"/>
              <w:right w:w="150" w:type="dxa"/>
            </w:tcMar>
          </w:tcPr>
          <w:p w14:paraId="75122008">
            <w:pPr>
              <w:jc w:val="center"/>
              <w:rPr>
                <w:rFonts w:ascii="Times New Roman" w:hAnsi="Times New Roman" w:eastAsia="宋体"/>
                <w:b w:val="0"/>
                <w:i w:val="0"/>
                <w:sz w:val="19"/>
              </w:rPr>
            </w:pPr>
          </w:p>
          <w:p w14:paraId="379EABF4">
            <w:pPr>
              <w:jc w:val="center"/>
              <w:rPr>
                <w:rFonts w:ascii="Times New Roman" w:hAnsi="Times New Roman" w:eastAsia="宋体"/>
                <w:b w:val="0"/>
                <w:i w:val="0"/>
                <w:sz w:val="19"/>
              </w:rPr>
            </w:pPr>
          </w:p>
          <w:p w14:paraId="32F9DA50">
            <w:pPr>
              <w:jc w:val="center"/>
            </w:pPr>
            <w:r>
              <w:rPr>
                <w:rFonts w:hint="eastAsia"/>
                <w:b w:val="0"/>
                <w:i w:val="0"/>
                <w:sz w:val="19"/>
                <w:lang w:val="en-US" w:eastAsia="zh-CN"/>
              </w:rPr>
              <w:t>A</w:t>
            </w:r>
            <w:r>
              <w:rPr>
                <w:rFonts w:ascii="Times New Roman" w:hAnsi="Times New Roman" w:eastAsia="宋体"/>
                <w:b w:val="0"/>
                <w:i w:val="0"/>
                <w:sz w:val="19"/>
              </w:rPr>
              <w:t>端（智慧社区）</w:t>
            </w:r>
          </w:p>
        </w:tc>
        <w:tc>
          <w:tcPr>
            <w:tcW w:w="2076" w:type="dxa"/>
            <w:tcMar>
              <w:top w:w="80" w:type="dxa"/>
              <w:left w:w="150" w:type="dxa"/>
              <w:bottom w:w="80" w:type="dxa"/>
              <w:right w:w="150" w:type="dxa"/>
            </w:tcMar>
          </w:tcPr>
          <w:p w14:paraId="4DC9C530">
            <w:pPr>
              <w:jc w:val="center"/>
            </w:pPr>
            <w:r>
              <w:rPr>
                <w:rFonts w:ascii="Times New Roman" w:hAnsi="Times New Roman" w:eastAsia="宋体"/>
                <w:b w:val="0"/>
                <w:i w:val="0"/>
                <w:sz w:val="19"/>
              </w:rPr>
              <w:t>街道办事处、社区医院、养老中心</w:t>
            </w:r>
          </w:p>
        </w:tc>
        <w:tc>
          <w:tcPr>
            <w:tcW w:w="2076" w:type="dxa"/>
            <w:tcMar>
              <w:top w:w="80" w:type="dxa"/>
              <w:left w:w="150" w:type="dxa"/>
              <w:bottom w:w="80" w:type="dxa"/>
              <w:right w:w="150" w:type="dxa"/>
            </w:tcMar>
          </w:tcPr>
          <w:p w14:paraId="292B48F0">
            <w:pPr>
              <w:jc w:val="left"/>
            </w:pPr>
            <w:r>
              <w:rPr>
                <w:rFonts w:ascii="Times New Roman" w:hAnsi="Times New Roman" w:eastAsia="宋体"/>
                <w:b w:val="0"/>
                <w:i w:val="0"/>
                <w:sz w:val="19"/>
              </w:rPr>
              <w:t>提供中老年人静默监护 API 与硬件中继网关部署；按季度收取远程心血管预警及直连医生通道维保费。</w:t>
            </w:r>
          </w:p>
        </w:tc>
        <w:tc>
          <w:tcPr>
            <w:tcW w:w="2076" w:type="dxa"/>
            <w:tcMar>
              <w:top w:w="80" w:type="dxa"/>
              <w:left w:w="150" w:type="dxa"/>
              <w:bottom w:w="80" w:type="dxa"/>
              <w:right w:w="150" w:type="dxa"/>
            </w:tcMar>
          </w:tcPr>
          <w:p w14:paraId="03E43FD0">
            <w:pPr>
              <w:jc w:val="center"/>
            </w:pPr>
            <w:r>
              <w:rPr>
                <w:rFonts w:ascii="Times New Roman" w:hAnsi="Times New Roman" w:eastAsia="宋体"/>
                <w:b w:val="0"/>
                <w:i w:val="0"/>
                <w:sz w:val="19"/>
              </w:rPr>
              <w:t xml:space="preserve">平均每个社区点位 </w:t>
            </w:r>
            <w:r>
              <w:rPr>
                <w:rFonts w:hint="eastAsia"/>
                <w:b/>
                <w:bCs/>
                <w:i w:val="0"/>
                <w:sz w:val="19"/>
                <w:lang w:val="en-US" w:eastAsia="zh-CN"/>
              </w:rPr>
              <w:t>0.5</w:t>
            </w:r>
            <w:r>
              <w:rPr>
                <w:rFonts w:ascii="Times New Roman" w:hAnsi="Times New Roman" w:eastAsia="宋体"/>
                <w:b/>
                <w:bCs/>
                <w:i w:val="0"/>
                <w:sz w:val="19"/>
              </w:rPr>
              <w:t>万元 / 年</w:t>
            </w:r>
          </w:p>
        </w:tc>
      </w:tr>
      <w:tr w14:paraId="60DFB242">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rPr>
          <w:jc w:val="center"/>
        </w:trPr>
        <w:tc>
          <w:tcPr>
            <w:tcW w:w="2076" w:type="dxa"/>
            <w:tcMar>
              <w:top w:w="80" w:type="dxa"/>
              <w:left w:w="150" w:type="dxa"/>
              <w:bottom w:w="80" w:type="dxa"/>
              <w:right w:w="150" w:type="dxa"/>
            </w:tcMar>
          </w:tcPr>
          <w:p w14:paraId="49F9FAE7">
            <w:pPr>
              <w:jc w:val="center"/>
              <w:rPr>
                <w:rFonts w:ascii="Times New Roman" w:hAnsi="Times New Roman" w:eastAsia="宋体"/>
                <w:b w:val="0"/>
                <w:i w:val="0"/>
                <w:sz w:val="19"/>
              </w:rPr>
            </w:pPr>
          </w:p>
          <w:p w14:paraId="7ED8D4DF">
            <w:pPr>
              <w:jc w:val="center"/>
              <w:rPr>
                <w:rFonts w:ascii="Times New Roman" w:hAnsi="Times New Roman" w:eastAsia="宋体"/>
                <w:b w:val="0"/>
                <w:i w:val="0"/>
                <w:sz w:val="19"/>
              </w:rPr>
            </w:pPr>
          </w:p>
          <w:p w14:paraId="09C2BBB3">
            <w:pPr>
              <w:jc w:val="center"/>
              <w:rPr>
                <w:rFonts w:ascii="Times New Roman" w:hAnsi="Times New Roman" w:eastAsia="宋体"/>
                <w:b w:val="0"/>
                <w:i w:val="0"/>
                <w:sz w:val="19"/>
              </w:rPr>
            </w:pPr>
          </w:p>
          <w:p w14:paraId="5CA23B29">
            <w:pPr>
              <w:jc w:val="center"/>
              <w:rPr>
                <w:rFonts w:ascii="Times New Roman" w:hAnsi="Times New Roman" w:eastAsia="宋体"/>
                <w:b w:val="0"/>
                <w:i w:val="0"/>
                <w:sz w:val="19"/>
              </w:rPr>
            </w:pPr>
          </w:p>
          <w:p w14:paraId="2CE69925">
            <w:pPr>
              <w:jc w:val="center"/>
            </w:pPr>
            <w:r>
              <w:rPr>
                <w:rFonts w:hint="eastAsia"/>
                <w:b w:val="0"/>
                <w:i w:val="0"/>
                <w:sz w:val="19"/>
                <w:lang w:val="en-US" w:eastAsia="zh-CN"/>
              </w:rPr>
              <w:t>C</w:t>
            </w:r>
            <w:r>
              <w:rPr>
                <w:rFonts w:ascii="Times New Roman" w:hAnsi="Times New Roman" w:eastAsia="宋体"/>
                <w:b w:val="0"/>
                <w:i w:val="0"/>
                <w:sz w:val="19"/>
              </w:rPr>
              <w:t>端（大众用户）</w:t>
            </w:r>
          </w:p>
        </w:tc>
        <w:tc>
          <w:tcPr>
            <w:tcW w:w="2076" w:type="dxa"/>
            <w:tcMar>
              <w:top w:w="80" w:type="dxa"/>
              <w:left w:w="150" w:type="dxa"/>
              <w:bottom w:w="80" w:type="dxa"/>
              <w:right w:w="150" w:type="dxa"/>
            </w:tcMar>
          </w:tcPr>
          <w:p w14:paraId="507FEFD2">
            <w:pPr>
              <w:jc w:val="center"/>
            </w:pPr>
            <w:r>
              <w:rPr>
                <w:rFonts w:ascii="Times New Roman" w:hAnsi="Times New Roman" w:eastAsia="宋体"/>
                <w:b w:val="0"/>
                <w:i w:val="0"/>
                <w:sz w:val="19"/>
              </w:rPr>
              <w:t>跑步爱好者、健康改善人群</w:t>
            </w:r>
          </w:p>
        </w:tc>
        <w:tc>
          <w:tcPr>
            <w:tcW w:w="2076" w:type="dxa"/>
            <w:tcMar>
              <w:top w:w="80" w:type="dxa"/>
              <w:left w:w="150" w:type="dxa"/>
              <w:bottom w:w="80" w:type="dxa"/>
              <w:right w:w="150" w:type="dxa"/>
            </w:tcMar>
          </w:tcPr>
          <w:p w14:paraId="65F3982E">
            <w:pPr>
              <w:numPr>
                <w:ilvl w:val="0"/>
                <w:numId w:val="1"/>
              </w:numPr>
              <w:jc w:val="left"/>
            </w:pPr>
            <w:r>
              <w:rPr>
                <w:rFonts w:ascii="Times New Roman" w:hAnsi="Times New Roman" w:eastAsia="宋体"/>
                <w:b/>
                <w:bCs/>
                <w:i w:val="0"/>
                <w:sz w:val="19"/>
              </w:rPr>
              <w:t>声音克隆云存储</w:t>
            </w:r>
            <w:r>
              <w:rPr>
                <w:rFonts w:ascii="Times New Roman" w:hAnsi="Times New Roman" w:eastAsia="宋体"/>
                <w:b w:val="0"/>
                <w:i w:val="0"/>
                <w:sz w:val="19"/>
              </w:rPr>
              <w:t>：基础克隆免费 1 个，额外音色克隆与</w:t>
            </w:r>
            <w:r>
              <w:rPr>
                <w:rFonts w:hint="eastAsia"/>
                <w:b w:val="0"/>
                <w:i w:val="0"/>
                <w:sz w:val="19"/>
                <w:lang w:val="en-US" w:eastAsia="zh-CN"/>
              </w:rPr>
              <w:t>存储</w:t>
            </w:r>
            <w:r>
              <w:rPr>
                <w:rFonts w:ascii="Times New Roman" w:hAnsi="Times New Roman" w:eastAsia="宋体"/>
                <w:b w:val="0"/>
                <w:i w:val="0"/>
                <w:sz w:val="19"/>
              </w:rPr>
              <w:t>收取云空间费</w:t>
            </w:r>
          </w:p>
          <w:p w14:paraId="19BB1E37">
            <w:pPr>
              <w:numPr>
                <w:ilvl w:val="0"/>
                <w:numId w:val="1"/>
              </w:numPr>
              <w:jc w:val="left"/>
            </w:pPr>
            <w:r>
              <w:rPr>
                <w:rFonts w:ascii="Times New Roman" w:hAnsi="Times New Roman" w:eastAsia="宋体"/>
                <w:b/>
                <w:bCs/>
                <w:i w:val="0"/>
                <w:sz w:val="19"/>
              </w:rPr>
              <w:t>医学大模型 Token 包</w:t>
            </w:r>
            <w:r>
              <w:rPr>
                <w:rFonts w:ascii="Times New Roman" w:hAnsi="Times New Roman" w:eastAsia="宋体"/>
                <w:b w:val="0"/>
                <w:i w:val="0"/>
                <w:sz w:val="19"/>
              </w:rPr>
              <w:t>：超出免费限额的深入医学处方出具计费；</w:t>
            </w:r>
            <w:r>
              <w:rPr>
                <w:rFonts w:ascii="Times New Roman" w:hAnsi="Times New Roman" w:eastAsia="宋体"/>
                <w:b/>
                <w:bCs/>
                <w:i w:val="0"/>
                <w:sz w:val="19"/>
              </w:rPr>
              <w:t xml:space="preserve"> </w:t>
            </w:r>
          </w:p>
          <w:p w14:paraId="7D2CAF21">
            <w:pPr>
              <w:numPr>
                <w:ilvl w:val="0"/>
                <w:numId w:val="1"/>
              </w:numPr>
              <w:jc w:val="left"/>
            </w:pPr>
            <w:r>
              <w:rPr>
                <w:rFonts w:ascii="Times New Roman" w:hAnsi="Times New Roman" w:eastAsia="宋体"/>
                <w:b/>
                <w:bCs/>
                <w:i w:val="0"/>
                <w:sz w:val="19"/>
              </w:rPr>
              <w:t>硬件分销CPS佣金</w:t>
            </w:r>
            <w:r>
              <w:rPr>
                <w:rFonts w:ascii="Times New Roman" w:hAnsi="Times New Roman" w:eastAsia="宋体"/>
                <w:b w:val="0"/>
                <w:i w:val="0"/>
                <w:sz w:val="19"/>
              </w:rPr>
              <w:t>：向无设备用户推荐华为/小米手环。</w:t>
            </w:r>
          </w:p>
        </w:tc>
        <w:tc>
          <w:tcPr>
            <w:tcW w:w="2076" w:type="dxa"/>
            <w:tcMar>
              <w:top w:w="80" w:type="dxa"/>
              <w:left w:w="150" w:type="dxa"/>
              <w:bottom w:w="80" w:type="dxa"/>
              <w:right w:w="150" w:type="dxa"/>
            </w:tcMar>
          </w:tcPr>
          <w:p w14:paraId="6BD1FAFF">
            <w:pPr>
              <w:jc w:val="left"/>
              <w:rPr>
                <w:rFonts w:ascii="Times New Roman" w:hAnsi="Times New Roman" w:eastAsia="宋体"/>
                <w:b w:val="0"/>
                <w:i w:val="0"/>
                <w:sz w:val="19"/>
              </w:rPr>
            </w:pPr>
            <w:r>
              <w:rPr>
                <w:rFonts w:ascii="Times New Roman" w:hAnsi="Times New Roman" w:eastAsia="宋体"/>
                <w:b w:val="0"/>
                <w:i w:val="0"/>
                <w:sz w:val="19"/>
              </w:rPr>
              <w:t>音色空间：</w:t>
            </w:r>
            <w:r>
              <w:rPr>
                <w:rFonts w:ascii="Times New Roman" w:hAnsi="Times New Roman" w:eastAsia="宋体"/>
                <w:b/>
                <w:bCs/>
                <w:i w:val="0"/>
                <w:sz w:val="19"/>
              </w:rPr>
              <w:t>15元 / 月</w:t>
            </w:r>
            <w:r>
              <w:rPr>
                <w:rFonts w:ascii="Times New Roman" w:hAnsi="Times New Roman" w:eastAsia="宋体"/>
                <w:b w:val="0"/>
                <w:i w:val="0"/>
                <w:sz w:val="19"/>
              </w:rPr>
              <w:t>；</w:t>
            </w:r>
          </w:p>
          <w:p w14:paraId="0FA1CAAE">
            <w:pPr>
              <w:jc w:val="left"/>
              <w:rPr>
                <w:rFonts w:ascii="Times New Roman" w:hAnsi="Times New Roman" w:eastAsia="宋体"/>
                <w:b w:val="0"/>
                <w:i w:val="0"/>
                <w:sz w:val="19"/>
              </w:rPr>
            </w:pPr>
            <w:r>
              <w:rPr>
                <w:rFonts w:ascii="Times New Roman" w:hAnsi="Times New Roman" w:eastAsia="宋体"/>
                <w:b w:val="0"/>
                <w:i w:val="0"/>
                <w:sz w:val="19"/>
              </w:rPr>
              <w:t>处方Token：</w:t>
            </w:r>
            <w:r>
              <w:rPr>
                <w:rFonts w:ascii="Times New Roman" w:hAnsi="Times New Roman" w:eastAsia="宋体"/>
                <w:b/>
                <w:bCs/>
                <w:i w:val="0"/>
                <w:sz w:val="19"/>
              </w:rPr>
              <w:t>20元 / 10万字</w:t>
            </w:r>
            <w:r>
              <w:rPr>
                <w:rFonts w:ascii="Times New Roman" w:hAnsi="Times New Roman" w:eastAsia="宋体"/>
                <w:b w:val="0"/>
                <w:i w:val="0"/>
                <w:sz w:val="19"/>
              </w:rPr>
              <w:t>；</w:t>
            </w:r>
          </w:p>
          <w:p w14:paraId="70B57542">
            <w:pPr>
              <w:jc w:val="left"/>
            </w:pPr>
            <w:r>
              <w:rPr>
                <w:rFonts w:ascii="Times New Roman" w:hAnsi="Times New Roman" w:eastAsia="宋体"/>
                <w:b w:val="0"/>
                <w:i w:val="0"/>
                <w:sz w:val="19"/>
              </w:rPr>
              <w:t>分销抽佣：</w:t>
            </w:r>
            <w:r>
              <w:rPr>
                <w:rFonts w:ascii="Times New Roman" w:hAnsi="Times New Roman" w:eastAsia="宋体"/>
                <w:b/>
                <w:bCs/>
                <w:i w:val="0"/>
                <w:sz w:val="19"/>
              </w:rPr>
              <w:t>售价的 8%-12%</w:t>
            </w:r>
          </w:p>
        </w:tc>
      </w:tr>
    </w:tbl>
    <w:p w14:paraId="73286D22"/>
    <w:p w14:paraId="0C81938C">
      <w:pPr>
        <w:pStyle w:val="4"/>
        <w:bidi w:val="0"/>
      </w:pPr>
      <w:r>
        <w:t>4.2 极低边际成本的技术护城河</w:t>
      </w:r>
    </w:p>
    <w:p w14:paraId="0A9C234F">
      <w:pPr>
        <w:spacing w:before="40" w:after="120" w:line="300" w:lineRule="auto"/>
      </w:pPr>
      <w:r>
        <w:rPr>
          <w:rFonts w:ascii="Times New Roman" w:hAnsi="Times New Roman" w:eastAsia="宋体"/>
          <w:b w:val="0"/>
          <w:i w:val="0"/>
          <w:sz w:val="21"/>
        </w:rPr>
        <w:t>相比竞品高昂的服务器运维与闭源大模型 API 采购费，Flying Run 拥有显著的成本优势：</w:t>
      </w:r>
    </w:p>
    <w:p w14:paraId="36BEF9CF">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i w:val="0"/>
          <w:sz w:val="21"/>
        </w:rPr>
        <w:t>模型本地化微调</w:t>
      </w:r>
      <w:r>
        <w:rPr>
          <w:rFonts w:ascii="Times New Roman" w:hAnsi="Times New Roman" w:eastAsia="宋体"/>
          <w:b w:val="0"/>
          <w:i w:val="0"/>
          <w:sz w:val="21"/>
        </w:rPr>
        <w:t>：由于使用了轻量级的 Qwen3-7B 参数级模型，微调费用在 5 万元以内即可完成开发。推理服务可以采用私有化部署，随着用户量上升，其边际推理成本远低于调用 GPT-4。</w:t>
      </w:r>
    </w:p>
    <w:p w14:paraId="7FEA20B3">
      <w:pPr>
        <w:spacing w:before="20" w:after="40" w:line="276" w:lineRule="auto"/>
        <w:ind w:left="360"/>
        <w:rPr>
          <w:rFonts w:ascii="Times New Roman" w:hAnsi="Times New Roman" w:eastAsia="微软雅黑"/>
          <w:b/>
          <w:i w:val="0"/>
          <w:sz w:val="24"/>
        </w:rPr>
      </w:pPr>
      <w:r>
        <w:rPr>
          <w:rFonts w:ascii="Times New Roman" w:hAnsi="Times New Roman" w:eastAsia="Arial"/>
          <w:b w:val="0"/>
          <w:i w:val="0"/>
          <w:sz w:val="21"/>
        </w:rPr>
        <w:t xml:space="preserve">•  </w:t>
      </w:r>
      <w:r>
        <w:rPr>
          <w:rFonts w:ascii="Times New Roman" w:hAnsi="Times New Roman" w:eastAsia="宋体"/>
          <w:b/>
          <w:i w:val="0"/>
          <w:sz w:val="21"/>
        </w:rPr>
        <w:t>声音克隆极小开销</w:t>
      </w:r>
      <w:r>
        <w:rPr>
          <w:rFonts w:ascii="Times New Roman" w:hAnsi="Times New Roman" w:eastAsia="宋体"/>
          <w:b w:val="0"/>
          <w:i w:val="0"/>
          <w:sz w:val="21"/>
        </w:rPr>
        <w:t>：GPT-SoVITS 的少样本克隆仅需生成 5 秒音频模型，且推理只在运动开始时或关键节点异步触发合成音频流，对带宽及云端算力消耗极小，服务部署整体开销小于 1 万元。</w:t>
      </w:r>
    </w:p>
    <w:p w14:paraId="637990EC">
      <w:pPr>
        <w:pStyle w:val="3"/>
        <w:bidi w:val="0"/>
      </w:pPr>
      <w:r>
        <w:t>第五章 用户体验</w:t>
      </w:r>
    </w:p>
    <w:p w14:paraId="7FC7A942">
      <w:pPr>
        <w:pStyle w:val="4"/>
        <w:bidi w:val="0"/>
      </w:pPr>
      <w:r>
        <w:t>5.1 视觉美学：暗色玻璃微光（Glassmorphism）</w:t>
      </w:r>
    </w:p>
    <w:p w14:paraId="26571912">
      <w:pPr>
        <w:spacing w:before="40" w:after="120" w:line="300" w:lineRule="auto"/>
      </w:pPr>
      <w:r>
        <w:rPr>
          <w:rFonts w:ascii="Times New Roman" w:hAnsi="Times New Roman" w:eastAsia="宋体"/>
          <w:b w:val="0"/>
          <w:i w:val="0"/>
          <w:sz w:val="21"/>
        </w:rPr>
        <w:t>为了给用户打造极具质感、专注、沉浸的视觉体验，Flying Run 的 UI 采用</w:t>
      </w:r>
      <w:r>
        <w:rPr>
          <w:rFonts w:ascii="Times New Roman" w:hAnsi="Times New Roman" w:eastAsia="宋体"/>
          <w:b/>
          <w:i w:val="0"/>
          <w:sz w:val="21"/>
        </w:rPr>
        <w:t>高端深色暗黑风格（Dark Mode）</w:t>
      </w:r>
      <w:r>
        <w:rPr>
          <w:rFonts w:ascii="Times New Roman" w:hAnsi="Times New Roman" w:eastAsia="宋体"/>
          <w:b w:val="0"/>
          <w:i w:val="0"/>
          <w:sz w:val="21"/>
        </w:rPr>
        <w:t>，搭配</w:t>
      </w:r>
      <w:r>
        <w:rPr>
          <w:rFonts w:ascii="Times New Roman" w:hAnsi="Times New Roman" w:eastAsia="宋体"/>
          <w:b/>
          <w:i w:val="0"/>
          <w:sz w:val="21"/>
        </w:rPr>
        <w:t>玻璃拟态（Glassmorphism）</w:t>
      </w:r>
      <w:r>
        <w:rPr>
          <w:rFonts w:ascii="Times New Roman" w:hAnsi="Times New Roman" w:eastAsia="宋体"/>
          <w:b w:val="0"/>
          <w:i w:val="0"/>
          <w:sz w:val="21"/>
        </w:rPr>
        <w:t>与</w:t>
      </w:r>
      <w:r>
        <w:rPr>
          <w:rFonts w:ascii="Times New Roman" w:hAnsi="Times New Roman" w:eastAsia="宋体"/>
          <w:b/>
          <w:i w:val="0"/>
          <w:sz w:val="21"/>
        </w:rPr>
        <w:t>高饱霓虹色彩体系</w:t>
      </w:r>
      <w:r>
        <w:rPr>
          <w:rFonts w:ascii="Times New Roman" w:hAnsi="Times New Roman" w:eastAsia="宋体"/>
          <w:b w:val="0"/>
          <w:i w:val="0"/>
          <w:sz w:val="21"/>
        </w:rPr>
        <w:t>，能有效缓解运动时的视觉疲劳。</w:t>
      </w:r>
    </w:p>
    <w:p w14:paraId="380DD225">
      <w:pPr>
        <w:spacing w:before="40" w:after="120" w:line="300" w:lineRule="auto"/>
      </w:pPr>
      <w:r>
        <w:rPr>
          <w:rFonts w:ascii="Times New Roman" w:hAnsi="Times New Roman" w:eastAsia="宋体"/>
          <w:b w:val="0"/>
          <w:i w:val="0"/>
          <w:sz w:val="21"/>
        </w:rPr>
        <w:t>下面展示的是 Flying Run App 核心界面的视觉原型设计：</w:t>
      </w:r>
    </w:p>
    <w:p w14:paraId="650BB192">
      <w:pPr>
        <w:spacing w:before="160" w:after="80"/>
        <w:ind w:left="-180" w:leftChars="-95" w:firstLine="0" w:firstLineChars="0"/>
        <w:jc w:val="both"/>
        <w:rPr>
          <w:rFonts w:hint="default" w:eastAsia="宋体"/>
          <w:lang w:val="en-US" w:eastAsia="zh-CN"/>
        </w:rPr>
      </w:pPr>
      <w:r>
        <w:rPr>
          <w:rFonts w:hint="eastAsia" w:eastAsia="宋体"/>
          <w:lang w:eastAsia="zh-CN"/>
        </w:rPr>
        <w:drawing>
          <wp:anchor distT="0" distB="0" distL="114300" distR="114300" simplePos="0" relativeHeight="251659264" behindDoc="0" locked="0" layoutInCell="1" allowOverlap="1">
            <wp:simplePos x="0" y="0"/>
            <wp:positionH relativeFrom="column">
              <wp:posOffset>2581275</wp:posOffset>
            </wp:positionH>
            <wp:positionV relativeFrom="paragraph">
              <wp:posOffset>88900</wp:posOffset>
            </wp:positionV>
            <wp:extent cx="2647950" cy="5031105"/>
            <wp:effectExtent l="0" t="0" r="0" b="17145"/>
            <wp:wrapNone/>
            <wp:docPr id="10" name="图片 10" descr="微信图片_20260608194520_251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608194520_251_36"/>
                    <pic:cNvPicPr>
                      <a:picLocks noChangeAspect="1"/>
                    </pic:cNvPicPr>
                  </pic:nvPicPr>
                  <pic:blipFill>
                    <a:blip r:embed="rId11"/>
                    <a:stretch>
                      <a:fillRect/>
                    </a:stretch>
                  </pic:blipFill>
                  <pic:spPr>
                    <a:xfrm>
                      <a:off x="0" y="0"/>
                      <a:ext cx="2647950" cy="5031105"/>
                    </a:xfrm>
                    <a:prstGeom prst="rect">
                      <a:avLst/>
                    </a:prstGeom>
                  </pic:spPr>
                </pic:pic>
              </a:graphicData>
            </a:graphic>
          </wp:anchor>
        </w:drawing>
      </w:r>
      <w:r>
        <w:rPr>
          <w:rFonts w:hint="eastAsia" w:eastAsia="宋体"/>
          <w:lang w:eastAsia="zh-CN"/>
        </w:rPr>
        <w:drawing>
          <wp:inline distT="0" distB="0" distL="114300" distR="114300">
            <wp:extent cx="2595880" cy="5024120"/>
            <wp:effectExtent l="0" t="0" r="13970" b="5080"/>
            <wp:docPr id="8" name="图片 8" descr="微信图片_20260608194525_252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608194525_252_36"/>
                    <pic:cNvPicPr>
                      <a:picLocks noChangeAspect="1"/>
                    </pic:cNvPicPr>
                  </pic:nvPicPr>
                  <pic:blipFill>
                    <a:blip r:embed="rId12"/>
                    <a:stretch>
                      <a:fillRect/>
                    </a:stretch>
                  </pic:blipFill>
                  <pic:spPr>
                    <a:xfrm>
                      <a:off x="0" y="0"/>
                      <a:ext cx="2595880" cy="5024120"/>
                    </a:xfrm>
                    <a:prstGeom prst="rect">
                      <a:avLst/>
                    </a:prstGeom>
                  </pic:spPr>
                </pic:pic>
              </a:graphicData>
            </a:graphic>
          </wp:inline>
        </w:drawing>
      </w:r>
      <w:r>
        <w:rPr>
          <w:rFonts w:hint="eastAsia"/>
          <w:lang w:val="en-US" w:eastAsia="zh-CN"/>
        </w:rPr>
        <w:t xml:space="preserve"> </w:t>
      </w:r>
    </w:p>
    <w:p w14:paraId="3E52EFE7">
      <w:pPr>
        <w:spacing w:before="40" w:after="160"/>
        <w:ind w:firstLine="190" w:firstLineChars="100"/>
        <w:jc w:val="both"/>
        <w:rPr>
          <w:rFonts w:hint="default" w:ascii="Times New Roman" w:hAnsi="Times New Roman" w:eastAsia="宋体"/>
          <w:b w:val="0"/>
          <w:i/>
          <w:sz w:val="19"/>
          <w:lang w:val="en-US" w:eastAsia="zh-CN"/>
        </w:rPr>
      </w:pPr>
      <w:r>
        <w:rPr>
          <w:rFonts w:ascii="Times New Roman" w:hAnsi="Times New Roman" w:eastAsia="宋体"/>
          <w:b w:val="0"/>
          <w:i/>
          <w:sz w:val="19"/>
        </w:rPr>
        <w:t>图：</w:t>
      </w:r>
      <w:r>
        <w:rPr>
          <w:rFonts w:hint="eastAsia" w:ascii="Times New Roman" w:hAnsi="Times New Roman"/>
          <w:b w:val="0"/>
          <w:i/>
          <w:sz w:val="19"/>
          <w:lang w:val="en-US" w:eastAsia="zh-CN"/>
        </w:rPr>
        <w:t>Flying_Run</w:t>
      </w:r>
      <w:r>
        <w:rPr>
          <w:rFonts w:ascii="Times New Roman" w:hAnsi="Times New Roman" w:eastAsia="宋体"/>
          <w:b w:val="0"/>
          <w:i/>
          <w:sz w:val="19"/>
        </w:rPr>
        <w:t>健康主仪表盘界面</w:t>
      </w:r>
      <w:r>
        <w:rPr>
          <w:rFonts w:hint="eastAsia" w:ascii="Times New Roman" w:hAnsi="Times New Roman"/>
          <w:b w:val="0"/>
          <w:i/>
          <w:sz w:val="19"/>
          <w:lang w:val="en-US" w:eastAsia="zh-CN"/>
        </w:rPr>
        <w:t xml:space="preserve">      </w:t>
      </w:r>
      <w:r>
        <w:rPr>
          <w:rFonts w:hint="eastAsia" w:ascii="Times New Roman" w:hAnsi="Times New Roman"/>
          <w:b w:val="0"/>
          <w:i/>
          <w:sz w:val="19"/>
          <w:lang w:val="en-US" w:eastAsia="zh-CN"/>
        </w:rPr>
        <w:tab/>
      </w:r>
      <w:r>
        <w:rPr>
          <w:rFonts w:hint="eastAsia" w:ascii="Times New Roman" w:hAnsi="Times New Roman"/>
          <w:b w:val="0"/>
          <w:i/>
          <w:sz w:val="19"/>
          <w:lang w:val="en-US" w:eastAsia="zh-CN"/>
        </w:rPr>
        <w:tab/>
      </w:r>
      <w:r>
        <w:rPr>
          <w:rFonts w:ascii="Times New Roman" w:hAnsi="Times New Roman" w:eastAsia="宋体"/>
          <w:b w:val="0"/>
          <w:i/>
          <w:sz w:val="19"/>
        </w:rPr>
        <w:t>图：AI伴跑教练人声参数</w:t>
      </w:r>
      <w:r>
        <w:rPr>
          <w:rFonts w:hint="eastAsia" w:ascii="Times New Roman" w:hAnsi="Times New Roman"/>
          <w:b w:val="0"/>
          <w:i/>
          <w:sz w:val="19"/>
          <w:lang w:val="en-US" w:eastAsia="zh-CN"/>
        </w:rPr>
        <w:t>本地微</w:t>
      </w:r>
      <w:r>
        <w:rPr>
          <w:rFonts w:ascii="Times New Roman" w:hAnsi="Times New Roman" w:eastAsia="宋体"/>
          <w:b w:val="0"/>
          <w:i/>
          <w:sz w:val="19"/>
        </w:rPr>
        <w:t>调节界面</w:t>
      </w:r>
    </w:p>
    <w:p w14:paraId="53DEB54C">
      <w:pPr>
        <w:spacing w:before="40" w:after="160"/>
        <w:jc w:val="both"/>
      </w:pPr>
    </w:p>
    <w:p w14:paraId="4822A11F">
      <w:pPr>
        <w:spacing w:before="160" w:after="80"/>
        <w:jc w:val="center"/>
        <w:rPr>
          <w:rFonts w:hint="eastAsia" w:eastAsia="宋体"/>
          <w:lang w:eastAsia="zh-CN"/>
        </w:rPr>
      </w:pPr>
      <w:r>
        <w:rPr>
          <w:rFonts w:hint="eastAsia" w:eastAsia="宋体"/>
          <w:lang w:eastAsia="zh-CN"/>
        </w:rPr>
        <w:drawing>
          <wp:inline distT="0" distB="0" distL="114300" distR="114300">
            <wp:extent cx="2290445" cy="5091430"/>
            <wp:effectExtent l="0" t="0" r="14605" b="13970"/>
            <wp:docPr id="11" name="图片 11" descr="微信图片_20260608200134_253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608200134_253_36"/>
                    <pic:cNvPicPr>
                      <a:picLocks noChangeAspect="1"/>
                    </pic:cNvPicPr>
                  </pic:nvPicPr>
                  <pic:blipFill>
                    <a:blip r:embed="rId13"/>
                    <a:stretch>
                      <a:fillRect/>
                    </a:stretch>
                  </pic:blipFill>
                  <pic:spPr>
                    <a:xfrm>
                      <a:off x="0" y="0"/>
                      <a:ext cx="2290445" cy="5091430"/>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2294890" cy="5102225"/>
            <wp:effectExtent l="0" t="0" r="10160" b="3175"/>
            <wp:docPr id="13" name="图片 13" descr="微信图片_20260608194515_250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608194515_250_36"/>
                    <pic:cNvPicPr>
                      <a:picLocks noChangeAspect="1"/>
                    </pic:cNvPicPr>
                  </pic:nvPicPr>
                  <pic:blipFill>
                    <a:blip r:embed="rId14"/>
                    <a:stretch>
                      <a:fillRect/>
                    </a:stretch>
                  </pic:blipFill>
                  <pic:spPr>
                    <a:xfrm>
                      <a:off x="0" y="0"/>
                      <a:ext cx="2294890" cy="5102225"/>
                    </a:xfrm>
                    <a:prstGeom prst="rect">
                      <a:avLst/>
                    </a:prstGeom>
                  </pic:spPr>
                </pic:pic>
              </a:graphicData>
            </a:graphic>
          </wp:inline>
        </w:drawing>
      </w:r>
    </w:p>
    <w:p w14:paraId="10A7B149">
      <w:pPr>
        <w:spacing w:before="40" w:after="160"/>
        <w:jc w:val="both"/>
        <w:rPr>
          <w:rFonts w:hint="default" w:eastAsia="宋体"/>
          <w:lang w:val="en-US" w:eastAsia="zh-CN"/>
        </w:rPr>
      </w:pPr>
      <w:r>
        <w:rPr>
          <w:rFonts w:ascii="Times New Roman" w:hAnsi="Times New Roman" w:eastAsia="宋体"/>
          <w:b w:val="0"/>
          <w:i/>
          <w:sz w:val="19"/>
        </w:rPr>
        <w:t>图：GPS三维地图轨迹与动态数据监测界面</w:t>
      </w:r>
      <w:r>
        <w:rPr>
          <w:rFonts w:hint="eastAsia" w:ascii="Times New Roman" w:hAnsi="Times New Roman"/>
          <w:b w:val="0"/>
          <w:i/>
          <w:sz w:val="19"/>
          <w:lang w:val="en-US" w:eastAsia="zh-CN"/>
        </w:rPr>
        <w:tab/>
      </w:r>
      <w:r>
        <w:rPr>
          <w:rFonts w:hint="eastAsia" w:ascii="Times New Roman" w:hAnsi="Times New Roman"/>
          <w:b w:val="0"/>
          <w:i/>
          <w:sz w:val="19"/>
          <w:lang w:val="en-US" w:eastAsia="zh-CN"/>
        </w:rPr>
        <w:tab/>
      </w:r>
      <w:r>
        <w:rPr>
          <w:rFonts w:hint="eastAsia" w:ascii="Times New Roman" w:hAnsi="Times New Roman"/>
          <w:b w:val="0"/>
          <w:i/>
          <w:sz w:val="19"/>
          <w:lang w:val="en-US" w:eastAsia="zh-CN"/>
        </w:rPr>
        <w:tab/>
      </w:r>
      <w:r>
        <w:rPr>
          <w:rFonts w:hint="eastAsia" w:ascii="Times New Roman" w:hAnsi="Times New Roman"/>
          <w:b w:val="0"/>
          <w:i/>
          <w:sz w:val="19"/>
          <w:lang w:val="en-US" w:eastAsia="zh-CN"/>
        </w:rPr>
        <w:t xml:space="preserve"> </w:t>
      </w:r>
      <w:r>
        <w:rPr>
          <w:rFonts w:hint="eastAsia" w:ascii="Times New Roman" w:hAnsi="Times New Roman"/>
          <w:b w:val="0"/>
          <w:i/>
          <w:sz w:val="19"/>
          <w:lang w:val="en-US" w:eastAsia="zh-CN"/>
        </w:rPr>
        <w:tab/>
      </w:r>
      <w:r>
        <w:rPr>
          <w:rFonts w:hint="eastAsia" w:ascii="Times New Roman" w:hAnsi="Times New Roman"/>
          <w:b w:val="0"/>
          <w:i/>
          <w:sz w:val="19"/>
          <w:lang w:val="en-US" w:eastAsia="zh-CN"/>
        </w:rPr>
        <w:t>图：AI数据检测分析页面</w:t>
      </w:r>
    </w:p>
    <w:p w14:paraId="7A2BD4EE">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i w:val="0"/>
          <w:sz w:val="21"/>
        </w:rPr>
        <w:t>配色规范</w:t>
      </w:r>
      <w:r>
        <w:rPr>
          <w:rFonts w:ascii="Times New Roman" w:hAnsi="Times New Roman" w:eastAsia="宋体"/>
          <w:b w:val="0"/>
          <w:i w:val="0"/>
          <w:sz w:val="21"/>
        </w:rPr>
        <w:t>：主背景色采用极客黑 `#0F1013`，玻璃卡片采用 `#1F2026`（透明度 0.65，配以 `backdrop-filter: blur(20px)`），辅助霓虹色包括：动力绿 `#39FF14`、科技蓝 `#00F0FF`、警示红 `#FF3B30`。</w:t>
      </w:r>
    </w:p>
    <w:p w14:paraId="5363FFD9">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i w:val="0"/>
          <w:sz w:val="21"/>
        </w:rPr>
        <w:t>字体规范</w:t>
      </w:r>
      <w:r>
        <w:rPr>
          <w:rFonts w:ascii="Times New Roman" w:hAnsi="Times New Roman" w:eastAsia="宋体"/>
          <w:b w:val="0"/>
          <w:i w:val="0"/>
          <w:sz w:val="21"/>
        </w:rPr>
        <w:t xml:space="preserve">：全局文字采用 Google Fonts 的 </w:t>
      </w:r>
      <w:r>
        <w:rPr>
          <w:rFonts w:ascii="Times New Roman" w:hAnsi="Times New Roman" w:eastAsia="宋体"/>
          <w:b/>
          <w:i w:val="0"/>
          <w:sz w:val="21"/>
        </w:rPr>
        <w:t>Outfit</w:t>
      </w:r>
      <w:r>
        <w:rPr>
          <w:rFonts w:ascii="Times New Roman" w:hAnsi="Times New Roman" w:eastAsia="宋体"/>
          <w:b w:val="0"/>
          <w:i w:val="0"/>
          <w:sz w:val="21"/>
        </w:rPr>
        <w:t xml:space="preserve"> 字体（带来现代极简感），而在核心数据展示（如步数、心率、公里数）上采用 </w:t>
      </w:r>
      <w:r>
        <w:rPr>
          <w:rFonts w:ascii="Times New Roman" w:hAnsi="Times New Roman" w:eastAsia="宋体"/>
          <w:b/>
          <w:i w:val="0"/>
          <w:sz w:val="21"/>
        </w:rPr>
        <w:t>Orbitron</w:t>
      </w:r>
      <w:r>
        <w:rPr>
          <w:rFonts w:ascii="Times New Roman" w:hAnsi="Times New Roman" w:eastAsia="宋体"/>
          <w:b w:val="0"/>
          <w:i w:val="0"/>
          <w:sz w:val="21"/>
        </w:rPr>
        <w:t>（电子科技感字体），使运动张力跃然纸上。</w:t>
      </w:r>
    </w:p>
    <w:p w14:paraId="763E27C5">
      <w:pPr>
        <w:pStyle w:val="4"/>
        <w:bidi w:val="0"/>
      </w:pPr>
      <w:r>
        <w:t>5.2 灵动交互：灵动岛通知与拟音轨波形</w:t>
      </w:r>
    </w:p>
    <w:p w14:paraId="0BA605CC">
      <w:pPr>
        <w:spacing w:before="20" w:after="40" w:line="276" w:lineRule="auto"/>
        <w:ind w:left="360"/>
      </w:pPr>
      <w:r>
        <w:rPr>
          <w:rFonts w:ascii="Times New Roman" w:hAnsi="Times New Roman" w:eastAsia="宋体"/>
          <w:b w:val="0"/>
          <w:i w:val="0"/>
          <w:sz w:val="21"/>
        </w:rPr>
        <w:t xml:space="preserve">1. </w:t>
      </w:r>
      <w:r>
        <w:rPr>
          <w:rFonts w:ascii="Times New Roman" w:hAnsi="Times New Roman" w:eastAsia="宋体"/>
          <w:b/>
          <w:i w:val="0"/>
          <w:sz w:val="21"/>
        </w:rPr>
        <w:t>全局灵动岛（Dynamic Island）机制</w:t>
      </w:r>
      <w:r>
        <w:rPr>
          <w:rFonts w:ascii="Times New Roman" w:hAnsi="Times New Roman" w:eastAsia="宋体"/>
          <w:b w:val="0"/>
          <w:i w:val="0"/>
          <w:sz w:val="21"/>
        </w:rPr>
        <w:t>：在系统顶端设计了全模式统一的灵动岛通知组件。当 AI 教练下发鼓励语音、学生进入规定打卡点、或者老人生理数据发生短暂偏离时，灵动岛会以优雅、流畅的阻尼动画展开，弹出气泡卡片，完全不干扰主界面的操作。</w:t>
      </w:r>
    </w:p>
    <w:p w14:paraId="25EEC24F">
      <w:pPr>
        <w:spacing w:before="20" w:after="40" w:line="276" w:lineRule="auto"/>
        <w:ind w:left="360"/>
        <w:rPr>
          <w:rFonts w:ascii="Times New Roman" w:hAnsi="Times New Roman" w:eastAsia="宋体"/>
          <w:b w:val="0"/>
          <w:i w:val="0"/>
          <w:sz w:val="21"/>
        </w:rPr>
      </w:pPr>
      <w:r>
        <w:rPr>
          <w:rFonts w:ascii="Times New Roman" w:hAnsi="Times New Roman" w:eastAsia="宋体"/>
          <w:b w:val="0"/>
          <w:i w:val="0"/>
          <w:sz w:val="21"/>
        </w:rPr>
        <w:t xml:space="preserve">2. </w:t>
      </w:r>
      <w:r>
        <w:rPr>
          <w:rFonts w:ascii="Times New Roman" w:hAnsi="Times New Roman" w:eastAsia="宋体"/>
          <w:b/>
          <w:i w:val="0"/>
          <w:sz w:val="21"/>
        </w:rPr>
        <w:t>跳动迷你音轨波形与 PulsingDot</w:t>
      </w:r>
      <w:r>
        <w:rPr>
          <w:rFonts w:ascii="Times New Roman" w:hAnsi="Times New Roman" w:eastAsia="宋体"/>
          <w:b w:val="0"/>
          <w:i w:val="0"/>
          <w:sz w:val="21"/>
        </w:rPr>
        <w:t>：在 AI 伴跑教练说话时，底部会展示根据声音频率实时计算的迷你动态音轨波形；主仪表盘的心率卡片内含一个根据实时心率跳动频率而改变闪烁频率的 PulsingDot 呼吸灯，强化“应用具有生命力与实时性”的用户心智。</w:t>
      </w:r>
    </w:p>
    <w:p w14:paraId="33D9CBC6">
      <w:pPr>
        <w:pStyle w:val="3"/>
        <w:bidi w:val="0"/>
      </w:pPr>
      <w:r>
        <w:t>第六章 游戏化</w:t>
      </w:r>
    </w:p>
    <w:p w14:paraId="0CFA0D9C">
      <w:pPr>
        <w:spacing w:before="40" w:after="120" w:line="300" w:lineRule="auto"/>
      </w:pPr>
      <w:r>
        <w:rPr>
          <w:rFonts w:ascii="Times New Roman" w:hAnsi="Times New Roman" w:eastAsia="宋体"/>
          <w:b w:val="0"/>
          <w:i w:val="0"/>
          <w:sz w:val="21"/>
        </w:rPr>
        <w:t>运动打卡最大的难点在于对抗用户的“惰性”。Flying Run 将游戏化（Gamification）机制深植于产品的逻辑中，以提高用户的使用粘性。</w:t>
      </w:r>
    </w:p>
    <w:p w14:paraId="332CA129">
      <w:pPr>
        <w:pStyle w:val="4"/>
        <w:bidi w:val="0"/>
      </w:pPr>
      <w:r>
        <w:t>6.1 八角游戏化框架（Octalysis Framework）应用</w:t>
      </w:r>
    </w:p>
    <w:p w14:paraId="2079512B">
      <w:pPr>
        <w:spacing w:before="40" w:after="120" w:line="300" w:lineRule="auto"/>
      </w:pPr>
      <w:r>
        <w:rPr>
          <w:rFonts w:ascii="Times New Roman" w:hAnsi="Times New Roman" w:eastAsia="宋体"/>
          <w:b w:val="0"/>
          <w:i w:val="0"/>
          <w:sz w:val="21"/>
        </w:rPr>
        <w:t>系统深度融合了周郁凯（Yu-kai Chou）的“八角游戏化框架”：</w:t>
      </w:r>
    </w:p>
    <w:p w14:paraId="741F2ACD">
      <w:pPr>
        <w:spacing w:before="20" w:after="40" w:line="276" w:lineRule="auto"/>
        <w:ind w:left="360"/>
      </w:pPr>
      <w:r>
        <w:rPr>
          <w:rFonts w:ascii="Times New Roman" w:hAnsi="Times New Roman" w:eastAsia="宋体"/>
          <w:b w:val="0"/>
          <w:i w:val="0"/>
          <w:sz w:val="21"/>
        </w:rPr>
        <w:t xml:space="preserve">1. </w:t>
      </w:r>
      <w:r>
        <w:rPr>
          <w:rFonts w:ascii="Times New Roman" w:hAnsi="Times New Roman" w:eastAsia="宋体"/>
          <w:b/>
          <w:i w:val="0"/>
          <w:sz w:val="21"/>
        </w:rPr>
        <w:t>核心驱动力1：史诗意义与使命感 (Epic Meaning &amp; Calling)</w:t>
      </w:r>
    </w:p>
    <w:p w14:paraId="28442B20">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在校园模式中，学生的每日阳光跑里程可以转化为“绿色碳减排点数”。这些点数可以汇入全校乃至全国的高校减排排行榜。甚至可以与支付宝“蚂蚁森林”等平台对接，当班级总里程达到门槛时，由合作企业出资在西北地区种植一颗真实树木。让枯燥的必修跑步转变为一项具备改变地球环境意义的宏伟使命。</w:t>
      </w:r>
    </w:p>
    <w:p w14:paraId="4C8D72D6">
      <w:pPr>
        <w:spacing w:before="20" w:after="40" w:line="276" w:lineRule="auto"/>
        <w:ind w:left="360"/>
      </w:pPr>
      <w:r>
        <w:rPr>
          <w:rFonts w:ascii="Times New Roman" w:hAnsi="Times New Roman" w:eastAsia="宋体"/>
          <w:b w:val="0"/>
          <w:i w:val="0"/>
          <w:sz w:val="21"/>
        </w:rPr>
        <w:t xml:space="preserve">2. </w:t>
      </w:r>
      <w:r>
        <w:rPr>
          <w:rFonts w:ascii="Times New Roman" w:hAnsi="Times New Roman" w:eastAsia="宋体"/>
          <w:b/>
          <w:i w:val="0"/>
          <w:sz w:val="21"/>
        </w:rPr>
        <w:t>核心驱动力2：开发与成就感 (Development &amp; Accomplishment)</w:t>
      </w:r>
    </w:p>
    <w:p w14:paraId="1B39AC09">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设立独特的“声音勋章”体系。当用户连续打卡 7 天、15 天、30 天，或者累计跑完 100 公里时，系统会解锁特殊的“发音语气特征参数”（如解锁元气少女音色的“傲娇语调”或专业教练的“魔鬼严厉语调”）。这些勋章通过炫酷的三维全息卡片展示，极大促进用户的自我实现欲望。</w:t>
      </w:r>
    </w:p>
    <w:p w14:paraId="2EF6A06C">
      <w:pPr>
        <w:spacing w:before="20" w:after="40" w:line="276" w:lineRule="auto"/>
        <w:ind w:left="360"/>
      </w:pPr>
      <w:r>
        <w:rPr>
          <w:rFonts w:ascii="Times New Roman" w:hAnsi="Times New Roman" w:eastAsia="宋体"/>
          <w:b w:val="0"/>
          <w:i w:val="0"/>
          <w:sz w:val="21"/>
        </w:rPr>
        <w:t xml:space="preserve">3. </w:t>
      </w:r>
      <w:r>
        <w:rPr>
          <w:rFonts w:ascii="Times New Roman" w:hAnsi="Times New Roman" w:eastAsia="宋体"/>
          <w:b/>
          <w:i w:val="0"/>
          <w:sz w:val="21"/>
        </w:rPr>
        <w:t>核心驱动力3：创意授权与反馈 (Empowerment of Creativity &amp; Feedback)</w:t>
      </w:r>
    </w:p>
    <w:p w14:paraId="078E3067">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允许用户对 AI 教练的性格参数进行“微调”。用户可以通过滑动条任意改变 AI 的语速、情感阈值以及调侃比例，甚至可以编写属于自己的伴跑激励脚本并一键克隆。每次跑步结束后，AI 的声音也会评价用户的微调效果，形成了“微调-跑步体验-再次优化”的良性反馈闭环。</w:t>
      </w:r>
    </w:p>
    <w:p w14:paraId="2D3A7345">
      <w:pPr>
        <w:spacing w:before="20" w:after="40" w:line="276" w:lineRule="auto"/>
        <w:ind w:left="360"/>
      </w:pPr>
      <w:r>
        <w:rPr>
          <w:rFonts w:ascii="Times New Roman" w:hAnsi="Times New Roman" w:eastAsia="宋体"/>
          <w:b w:val="0"/>
          <w:i w:val="0"/>
          <w:sz w:val="21"/>
        </w:rPr>
        <w:t xml:space="preserve">4. </w:t>
      </w:r>
      <w:r>
        <w:rPr>
          <w:rFonts w:ascii="Times New Roman" w:hAnsi="Times New Roman" w:eastAsia="宋体"/>
          <w:b/>
          <w:i w:val="0"/>
          <w:sz w:val="21"/>
        </w:rPr>
        <w:t>核心驱动力5：社交影响与关联性 (Social Influence &amp; Relatedness)</w:t>
      </w:r>
    </w:p>
    <w:p w14:paraId="60545694">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设计了“异地同跑”与“亲友连线”机制。异地恋情侣可以通过克隆对方的声音作为自己跑步的伴跑教练；宿舍舍友可以组队进行“宿舍虚拟小镇”建设，任何一人打卡漏掉，都会导致小镇“停电”，利用群体荣誉感对抗个人惰性。</w:t>
      </w:r>
    </w:p>
    <w:p w14:paraId="256A6069">
      <w:pPr>
        <w:pStyle w:val="4"/>
        <w:bidi w:val="0"/>
      </w:pPr>
      <w:r>
        <w:t>6.2 弹性智能任务分配与决策逻辑</w:t>
      </w:r>
    </w:p>
    <w:p w14:paraId="101B3AB6">
      <w:pPr>
        <w:spacing w:before="40" w:after="120" w:line="300" w:lineRule="auto"/>
        <w:rPr>
          <w:rFonts w:ascii="Times New Roman" w:hAnsi="Times New Roman" w:eastAsia="宋体"/>
          <w:b w:val="0"/>
          <w:i w:val="0"/>
          <w:sz w:val="21"/>
        </w:rPr>
      </w:pPr>
      <w:r>
        <w:rPr>
          <w:rFonts w:ascii="Times New Roman" w:hAnsi="Times New Roman" w:eastAsia="宋体"/>
          <w:b w:val="0"/>
          <w:i w:val="0"/>
          <w:sz w:val="21"/>
        </w:rPr>
        <w:t>系统抛弃了死板的任务一刀切，采用以身体生理指标为决策树的弹性打卡逻辑。当用户触发打卡请求时，大模型后台按照如下逻辑树动态生成今日的目标任务：</w:t>
      </w:r>
    </w:p>
    <w:p w14:paraId="66578FC4">
      <w:pPr>
        <w:spacing w:before="40" w:after="120" w:line="300" w:lineRule="auto"/>
        <w:rPr>
          <w:rFonts w:ascii="Times New Roman" w:hAnsi="Times New Roman" w:eastAsia="宋体"/>
          <w:b w:val="0"/>
          <w:i w:val="0"/>
          <w:sz w:val="21"/>
        </w:rPr>
      </w:pPr>
    </w:p>
    <w:p w14:paraId="6690D34F">
      <w:pPr>
        <w:spacing w:before="40" w:after="120" w:line="300" w:lineRule="auto"/>
        <w:rPr>
          <w:rFonts w:ascii="Times New Roman" w:hAnsi="Times New Roman" w:eastAsia="宋体"/>
          <w:b w:val="0"/>
          <w:i w:val="0"/>
          <w:sz w:val="21"/>
        </w:rPr>
      </w:pPr>
    </w:p>
    <w:p w14:paraId="7C8744D7">
      <w:pPr>
        <w:spacing w:before="40" w:after="120" w:line="300" w:lineRule="auto"/>
        <w:rPr>
          <w:rFonts w:ascii="Times New Roman" w:hAnsi="Times New Roman" w:eastAsia="宋体"/>
          <w:b w:val="0"/>
          <w:i w:val="0"/>
          <w:sz w:val="21"/>
        </w:rPr>
      </w:pPr>
    </w:p>
    <w:p w14:paraId="4E4489A7">
      <w:pPr>
        <w:spacing w:before="40" w:after="120" w:line="300" w:lineRule="auto"/>
      </w:pPr>
      <w:r>
        <w:rPr>
          <w:rFonts w:hint="eastAsia"/>
          <w:b w:val="0"/>
          <w:i w:val="0"/>
          <w:sz w:val="21"/>
          <w:lang w:val="en-US" w:eastAsia="zh-CN"/>
        </w:rPr>
        <w:t xml:space="preserve">       </w:t>
      </w:r>
      <w:r>
        <w:rPr>
          <w:rFonts w:hint="eastAsia" w:ascii="Times New Roman" w:hAnsi="Times New Roman" w:eastAsia="宋体"/>
          <w:b w:val="0"/>
          <w:i w:val="0"/>
          <w:sz w:val="21"/>
          <w:lang w:eastAsia="zh-CN"/>
        </w:rPr>
        <w:drawing>
          <wp:inline distT="0" distB="0" distL="114300" distR="114300">
            <wp:extent cx="5180965" cy="6117590"/>
            <wp:effectExtent l="0" t="0" r="635" b="16510"/>
            <wp:docPr id="12" name="图片 12" descr="360截图20260609132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60截图20260609132350"/>
                    <pic:cNvPicPr>
                      <a:picLocks noChangeAspect="1"/>
                    </pic:cNvPicPr>
                  </pic:nvPicPr>
                  <pic:blipFill>
                    <a:blip r:embed="rId15"/>
                    <a:stretch>
                      <a:fillRect/>
                    </a:stretch>
                  </pic:blipFill>
                  <pic:spPr>
                    <a:xfrm>
                      <a:off x="0" y="0"/>
                      <a:ext cx="5180965" cy="6117590"/>
                    </a:xfrm>
                    <a:prstGeom prst="rect">
                      <a:avLst/>
                    </a:prstGeom>
                  </pic:spPr>
                </pic:pic>
              </a:graphicData>
            </a:graphic>
          </wp:inline>
        </w:drawing>
      </w:r>
    </w:p>
    <w:p w14:paraId="3520367F">
      <w:pPr>
        <w:pStyle w:val="3"/>
        <w:bidi w:val="0"/>
      </w:pPr>
      <w:r>
        <w:t>第七</w:t>
      </w:r>
      <w:r>
        <w:rPr>
          <w:rFonts w:hint="eastAsia"/>
          <w:lang w:val="en-US" w:eastAsia="zh-CN"/>
        </w:rPr>
        <w:t>章</w:t>
      </w:r>
      <w:r>
        <w:t xml:space="preserve"> 产品的设计实现</w:t>
      </w:r>
    </w:p>
    <w:p w14:paraId="61608C7A">
      <w:pPr>
        <w:pStyle w:val="4"/>
        <w:bidi w:val="0"/>
      </w:pPr>
      <w:r>
        <w:t>7.1 核心技术选型与目录结构</w:t>
      </w:r>
    </w:p>
    <w:p w14:paraId="4B741366">
      <w:pPr>
        <w:spacing w:before="40" w:after="120" w:line="300" w:lineRule="auto"/>
      </w:pPr>
      <w:r>
        <w:rPr>
          <w:rFonts w:ascii="Times New Roman" w:hAnsi="Times New Roman" w:eastAsia="宋体"/>
          <w:b w:val="0"/>
          <w:i w:val="0"/>
          <w:sz w:val="21"/>
        </w:rPr>
        <w:t xml:space="preserve">系统前端开发基于 </w:t>
      </w:r>
      <w:r>
        <w:rPr>
          <w:rFonts w:ascii="Times New Roman" w:hAnsi="Times New Roman" w:eastAsia="宋体"/>
          <w:b/>
          <w:i w:val="0"/>
          <w:sz w:val="21"/>
        </w:rPr>
        <w:t>Flutter 3.19+</w:t>
      </w:r>
      <w:r>
        <w:rPr>
          <w:rFonts w:ascii="Times New Roman" w:hAnsi="Times New Roman" w:eastAsia="宋体"/>
          <w:b w:val="0"/>
          <w:i w:val="0"/>
          <w:sz w:val="21"/>
        </w:rPr>
        <w:t xml:space="preserve"> 与 </w:t>
      </w:r>
      <w:r>
        <w:rPr>
          <w:rFonts w:ascii="Times New Roman" w:hAnsi="Times New Roman" w:eastAsia="宋体"/>
          <w:b/>
          <w:i w:val="0"/>
          <w:sz w:val="21"/>
        </w:rPr>
        <w:t>Dart 3.3</w:t>
      </w:r>
      <w:bookmarkStart w:id="0" w:name="_GoBack"/>
      <w:bookmarkEnd w:id="0"/>
      <w:r>
        <w:rPr>
          <w:rFonts w:ascii="Times New Roman" w:hAnsi="Times New Roman" w:eastAsia="宋体"/>
          <w:b/>
          <w:i w:val="0"/>
          <w:sz w:val="21"/>
        </w:rPr>
        <w:t>+</w:t>
      </w:r>
      <w:r>
        <w:rPr>
          <w:rFonts w:ascii="Times New Roman" w:hAnsi="Times New Roman" w:eastAsia="宋体"/>
          <w:b w:val="0"/>
          <w:i w:val="0"/>
          <w:sz w:val="21"/>
        </w:rPr>
        <w:t xml:space="preserve"> 跨平台框架，通过 Dio 网络模块与云端进行高速通信。项目的主要代码文件结构如下：</w:t>
      </w:r>
    </w:p>
    <w:p w14:paraId="667F38AA">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`lib/config/api_config.dart`：集中配置校园数据网关、社区医院和健康大模型的接口常数。</w:t>
      </w:r>
    </w:p>
    <w:p w14:paraId="2EF65055">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`lib/services/http_client.dart`：基于 Dio 进行多重封装的网络引擎，支持超时、加解密拦截以及 Token 注入。</w:t>
      </w:r>
    </w:p>
    <w:p w14:paraId="4BA798E1">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`lib/services/adapters/`：硬件数据清洗适配器（Adapter），确保不同厂商的数据在前端进行归一化处理。</w:t>
      </w:r>
    </w:p>
    <w:p w14:paraId="17DA99DC">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`lib/screens/`：包含仪表盘、伴跑选择、打卡地图、全息报告四大视图组件。</w:t>
      </w:r>
    </w:p>
    <w:p w14:paraId="14D837F6">
      <w:pPr>
        <w:spacing w:before="20" w:after="40" w:line="276" w:lineRule="auto"/>
        <w:ind w:left="360"/>
      </w:pPr>
      <w:r>
        <w:rPr>
          <w:rFonts w:ascii="Times New Roman" w:hAnsi="Times New Roman" w:eastAsia="Arial"/>
          <w:b w:val="0"/>
          <w:i w:val="0"/>
          <w:sz w:val="21"/>
        </w:rPr>
        <w:t xml:space="preserve">•  </w:t>
      </w:r>
      <w:r>
        <w:rPr>
          <w:rFonts w:ascii="Times New Roman" w:hAnsi="Times New Roman" w:eastAsia="宋体"/>
          <w:b w:val="0"/>
          <w:i w:val="0"/>
          <w:sz w:val="21"/>
        </w:rPr>
        <w:t>`lib/widgets/dynamic_island.dart`：全局轻量级灵动岛弹框与状态指示层。</w:t>
      </w:r>
    </w:p>
    <w:p w14:paraId="1AE2114C">
      <w:pPr>
        <w:pStyle w:val="4"/>
        <w:bidi w:val="0"/>
      </w:pPr>
      <w:r>
        <w:t>7.2 适配器模式对接第三方硬件代码实现</w:t>
      </w:r>
    </w:p>
    <w:p w14:paraId="6110F3DB">
      <w:pPr>
        <w:spacing w:before="40" w:after="120" w:line="300" w:lineRule="auto"/>
      </w:pPr>
      <w:r>
        <w:rPr>
          <w:rFonts w:ascii="Times New Roman" w:hAnsi="Times New Roman" w:eastAsia="宋体"/>
          <w:b w:val="0"/>
          <w:i w:val="0"/>
          <w:sz w:val="21"/>
        </w:rPr>
        <w:t>为保障系统可以无缝接入市场上所有的穿戴生态，我们在 `lib/services/adapters/` 中设计了统一的硬件数据清洗层。以下为适配器核心抽象类与华为手环适配器的具体实现：</w:t>
      </w:r>
    </w:p>
    <w:p w14:paraId="17D4CAEE">
      <w:pPr>
        <w:pBdr>
          <w:left w:val="single" w:color="5B9BD5" w:sz="18" w:space="6"/>
        </w:pBdr>
        <w:shd w:val="clear" w:fill="F8F9FA"/>
        <w:spacing w:before="80" w:after="80"/>
        <w:ind w:left="432" w:right="432"/>
      </w:pPr>
      <w:r>
        <w:rPr>
          <w:rFonts w:ascii="Consolas" w:hAnsi="Consolas" w:eastAsia="Consolas"/>
          <w:b w:val="0"/>
          <w:i w:val="0"/>
          <w:sz w:val="19"/>
        </w:rPr>
        <w:t>// base_adapter.dart</w:t>
      </w:r>
      <w:r>
        <w:rPr>
          <w:rFonts w:ascii="Consolas" w:hAnsi="Consolas" w:eastAsia="Consolas"/>
          <w:b w:val="0"/>
          <w:i w:val="0"/>
          <w:sz w:val="19"/>
        </w:rPr>
        <w:br w:type="textWrapping"/>
      </w:r>
      <w:r>
        <w:rPr>
          <w:rFonts w:ascii="Consolas" w:hAnsi="Consolas" w:eastAsia="Consolas"/>
          <w:b w:val="0"/>
          <w:i w:val="0"/>
          <w:sz w:val="19"/>
        </w:rPr>
        <w:t>abstract class BaseHardwareAdapter {</w:t>
      </w:r>
      <w:r>
        <w:rPr>
          <w:rFonts w:ascii="Consolas" w:hAnsi="Consolas" w:eastAsia="Consolas"/>
          <w:b w:val="0"/>
          <w:i w:val="0"/>
          <w:sz w:val="19"/>
        </w:rPr>
        <w:br w:type="textWrapping"/>
      </w:r>
      <w:r>
        <w:rPr>
          <w:rFonts w:ascii="Consolas" w:hAnsi="Consolas" w:eastAsia="Consolas"/>
          <w:b w:val="0"/>
          <w:i w:val="0"/>
          <w:sz w:val="19"/>
        </w:rPr>
        <w:t xml:space="preserve">  String get deviceName;</w:t>
      </w:r>
      <w:r>
        <w:rPr>
          <w:rFonts w:ascii="Consolas" w:hAnsi="Consolas" w:eastAsia="Consolas"/>
          <w:b w:val="0"/>
          <w:i w:val="0"/>
          <w:sz w:val="19"/>
        </w:rPr>
        <w:br w:type="textWrapping"/>
      </w:r>
      <w:r>
        <w:rPr>
          <w:rFonts w:ascii="Consolas" w:hAnsi="Consolas" w:eastAsia="Consolas"/>
          <w:b w:val="0"/>
          <w:i w:val="0"/>
          <w:sz w:val="19"/>
        </w:rPr>
        <w:t xml:space="preserve">  Future&lt;bool&gt; connect();</w:t>
      </w:r>
      <w:r>
        <w:rPr>
          <w:rFonts w:ascii="Consolas" w:hAnsi="Consolas" w:eastAsia="Consolas"/>
          <w:b w:val="0"/>
          <w:i w:val="0"/>
          <w:sz w:val="19"/>
        </w:rPr>
        <w:br w:type="textWrapping"/>
      </w:r>
      <w:r>
        <w:rPr>
          <w:rFonts w:ascii="Consolas" w:hAnsi="Consolas" w:eastAsia="Consolas"/>
          <w:b w:val="0"/>
          <w:i w:val="0"/>
          <w:sz w:val="19"/>
        </w:rPr>
        <w:t xml:space="preserve">  Future&lt;NormalizedHealthData&gt; fetchLatestData();</w:t>
      </w:r>
      <w:r>
        <w:rPr>
          <w:rFonts w:ascii="Consolas" w:hAnsi="Consolas" w:eastAsia="Consolas"/>
          <w:b w:val="0"/>
          <w:i w:val="0"/>
          <w:sz w:val="19"/>
        </w:rPr>
        <w:br w:type="textWrapping"/>
      </w:r>
      <w:r>
        <w:rPr>
          <w:rFonts w:ascii="Consolas" w:hAnsi="Consolas" w:eastAsia="Consolas"/>
          <w:b w:val="0"/>
          <w:i w:val="0"/>
          <w:sz w:val="19"/>
        </w:rPr>
        <w:t>}</w:t>
      </w:r>
      <w:r>
        <w:rPr>
          <w:rFonts w:ascii="Consolas" w:hAnsi="Consolas" w:eastAsia="Consolas"/>
          <w:b w:val="0"/>
          <w:i w:val="0"/>
          <w:sz w:val="19"/>
        </w:rPr>
        <w:br w:type="textWrapping"/>
      </w:r>
      <w:r>
        <w:rPr>
          <w:rFonts w:ascii="Consolas" w:hAnsi="Consolas" w:eastAsia="Consolas"/>
          <w:b w:val="0"/>
          <w:i w:val="0"/>
          <w:sz w:val="19"/>
        </w:rPr>
        <w:br w:type="textWrapping"/>
      </w:r>
      <w:r>
        <w:rPr>
          <w:rFonts w:ascii="Consolas" w:hAnsi="Consolas" w:eastAsia="Consolas"/>
          <w:b w:val="0"/>
          <w:i w:val="0"/>
          <w:sz w:val="19"/>
        </w:rPr>
        <w:t>// NormalizedHealthData 包含统一的心率、步数、睡眠时长等字段</w:t>
      </w:r>
      <w:r>
        <w:rPr>
          <w:rFonts w:ascii="Consolas" w:hAnsi="Consolas" w:eastAsia="Consolas"/>
          <w:b w:val="0"/>
          <w:i w:val="0"/>
          <w:sz w:val="19"/>
        </w:rPr>
        <w:br w:type="textWrapping"/>
      </w:r>
      <w:r>
        <w:rPr>
          <w:rFonts w:ascii="Consolas" w:hAnsi="Consolas" w:eastAsia="Consolas"/>
          <w:b w:val="0"/>
          <w:i w:val="0"/>
          <w:sz w:val="19"/>
        </w:rPr>
        <w:t>class NormalizedHealthData {</w:t>
      </w:r>
      <w:r>
        <w:rPr>
          <w:rFonts w:ascii="Consolas" w:hAnsi="Consolas" w:eastAsia="Consolas"/>
          <w:b w:val="0"/>
          <w:i w:val="0"/>
          <w:sz w:val="19"/>
        </w:rPr>
        <w:br w:type="textWrapping"/>
      </w:r>
      <w:r>
        <w:rPr>
          <w:rFonts w:ascii="Consolas" w:hAnsi="Consolas" w:eastAsia="Consolas"/>
          <w:b w:val="0"/>
          <w:i w:val="0"/>
          <w:sz w:val="19"/>
        </w:rPr>
        <w:t xml:space="preserve">  final int heartRate;</w:t>
      </w:r>
      <w:r>
        <w:rPr>
          <w:rFonts w:ascii="Consolas" w:hAnsi="Consolas" w:eastAsia="Consolas"/>
          <w:b w:val="0"/>
          <w:i w:val="0"/>
          <w:sz w:val="19"/>
        </w:rPr>
        <w:br w:type="textWrapping"/>
      </w:r>
      <w:r>
        <w:rPr>
          <w:rFonts w:ascii="Consolas" w:hAnsi="Consolas" w:eastAsia="Consolas"/>
          <w:b w:val="0"/>
          <w:i w:val="0"/>
          <w:sz w:val="19"/>
        </w:rPr>
        <w:t xml:space="preserve">  final int stepCount;</w:t>
      </w:r>
      <w:r>
        <w:rPr>
          <w:rFonts w:ascii="Consolas" w:hAnsi="Consolas" w:eastAsia="Consolas"/>
          <w:b w:val="0"/>
          <w:i w:val="0"/>
          <w:sz w:val="19"/>
        </w:rPr>
        <w:br w:type="textWrapping"/>
      </w:r>
      <w:r>
        <w:rPr>
          <w:rFonts w:ascii="Consolas" w:hAnsi="Consolas" w:eastAsia="Consolas"/>
          <w:b w:val="0"/>
          <w:i w:val="0"/>
          <w:sz w:val="19"/>
        </w:rPr>
        <w:t xml:space="preserve">  final double bloodOxygen;</w:t>
      </w:r>
      <w:r>
        <w:rPr>
          <w:rFonts w:ascii="Consolas" w:hAnsi="Consolas" w:eastAsia="Consolas"/>
          <w:b w:val="0"/>
          <w:i w:val="0"/>
          <w:sz w:val="19"/>
        </w:rPr>
        <w:br w:type="textWrapping"/>
      </w:r>
      <w:r>
        <w:rPr>
          <w:rFonts w:ascii="Consolas" w:hAnsi="Consolas" w:eastAsia="Consolas"/>
          <w:b w:val="0"/>
          <w:i w:val="0"/>
          <w:sz w:val="19"/>
        </w:rPr>
        <w:t xml:space="preserve">  final double sleepDuration;</w:t>
      </w:r>
      <w:r>
        <w:rPr>
          <w:rFonts w:ascii="Consolas" w:hAnsi="Consolas" w:eastAsia="Consolas"/>
          <w:b w:val="0"/>
          <w:i w:val="0"/>
          <w:sz w:val="19"/>
        </w:rPr>
        <w:br w:type="textWrapping"/>
      </w:r>
      <w:r>
        <w:rPr>
          <w:rFonts w:ascii="Consolas" w:hAnsi="Consolas" w:eastAsia="Consolas"/>
          <w:b w:val="0"/>
          <w:i w:val="0"/>
          <w:sz w:val="19"/>
        </w:rPr>
        <w:t xml:space="preserve">  final DateTime timestamp;</w:t>
      </w:r>
      <w:r>
        <w:rPr>
          <w:rFonts w:ascii="Consolas" w:hAnsi="Consolas" w:eastAsia="Consolas"/>
          <w:b w:val="0"/>
          <w:i w:val="0"/>
          <w:sz w:val="19"/>
        </w:rPr>
        <w:br w:type="textWrapping"/>
      </w:r>
      <w:r>
        <w:rPr>
          <w:rFonts w:ascii="Consolas" w:hAnsi="Consolas" w:eastAsia="Consolas"/>
          <w:b w:val="0"/>
          <w:i w:val="0"/>
          <w:sz w:val="19"/>
        </w:rPr>
        <w:br w:type="textWrapping"/>
      </w:r>
      <w:r>
        <w:rPr>
          <w:rFonts w:ascii="Consolas" w:hAnsi="Consolas" w:eastAsia="Consolas"/>
          <w:b w:val="0"/>
          <w:i w:val="0"/>
          <w:sz w:val="19"/>
        </w:rPr>
        <w:t xml:space="preserve">  NormalizedHealthData({</w:t>
      </w:r>
      <w:r>
        <w:rPr>
          <w:rFonts w:ascii="Consolas" w:hAnsi="Consolas" w:eastAsia="Consolas"/>
          <w:b w:val="0"/>
          <w:i w:val="0"/>
          <w:sz w:val="19"/>
        </w:rPr>
        <w:br w:type="textWrapping"/>
      </w:r>
      <w:r>
        <w:rPr>
          <w:rFonts w:ascii="Consolas" w:hAnsi="Consolas" w:eastAsia="Consolas"/>
          <w:b w:val="0"/>
          <w:i w:val="0"/>
          <w:sz w:val="19"/>
        </w:rPr>
        <w:t xml:space="preserve">    required this.heartRate,</w:t>
      </w:r>
      <w:r>
        <w:rPr>
          <w:rFonts w:ascii="Consolas" w:hAnsi="Consolas" w:eastAsia="Consolas"/>
          <w:b w:val="0"/>
          <w:i w:val="0"/>
          <w:sz w:val="19"/>
        </w:rPr>
        <w:br w:type="textWrapping"/>
      </w:r>
      <w:r>
        <w:rPr>
          <w:rFonts w:ascii="Consolas" w:hAnsi="Consolas" w:eastAsia="Consolas"/>
          <w:b w:val="0"/>
          <w:i w:val="0"/>
          <w:sz w:val="19"/>
        </w:rPr>
        <w:t xml:space="preserve">    required this.stepCount,</w:t>
      </w:r>
      <w:r>
        <w:rPr>
          <w:rFonts w:ascii="Consolas" w:hAnsi="Consolas" w:eastAsia="Consolas"/>
          <w:b w:val="0"/>
          <w:i w:val="0"/>
          <w:sz w:val="19"/>
        </w:rPr>
        <w:br w:type="textWrapping"/>
      </w:r>
      <w:r>
        <w:rPr>
          <w:rFonts w:ascii="Consolas" w:hAnsi="Consolas" w:eastAsia="Consolas"/>
          <w:b w:val="0"/>
          <w:i w:val="0"/>
          <w:sz w:val="19"/>
        </w:rPr>
        <w:t xml:space="preserve">    required this.bloodOxygen,</w:t>
      </w:r>
      <w:r>
        <w:rPr>
          <w:rFonts w:ascii="Consolas" w:hAnsi="Consolas" w:eastAsia="Consolas"/>
          <w:b w:val="0"/>
          <w:i w:val="0"/>
          <w:sz w:val="19"/>
        </w:rPr>
        <w:br w:type="textWrapping"/>
      </w:r>
      <w:r>
        <w:rPr>
          <w:rFonts w:ascii="Consolas" w:hAnsi="Consolas" w:eastAsia="Consolas"/>
          <w:b w:val="0"/>
          <w:i w:val="0"/>
          <w:sz w:val="19"/>
        </w:rPr>
        <w:t xml:space="preserve">    required this.sleepDuration,</w:t>
      </w:r>
      <w:r>
        <w:rPr>
          <w:rFonts w:ascii="Consolas" w:hAnsi="Consolas" w:eastAsia="Consolas"/>
          <w:b w:val="0"/>
          <w:i w:val="0"/>
          <w:sz w:val="19"/>
        </w:rPr>
        <w:br w:type="textWrapping"/>
      </w:r>
      <w:r>
        <w:rPr>
          <w:rFonts w:ascii="Consolas" w:hAnsi="Consolas" w:eastAsia="Consolas"/>
          <w:b w:val="0"/>
          <w:i w:val="0"/>
          <w:sz w:val="19"/>
        </w:rPr>
        <w:t xml:space="preserve">    required this.timestamp,</w:t>
      </w:r>
      <w:r>
        <w:rPr>
          <w:rFonts w:ascii="Consolas" w:hAnsi="Consolas" w:eastAsia="Consolas"/>
          <w:b w:val="0"/>
          <w:i w:val="0"/>
          <w:sz w:val="19"/>
        </w:rPr>
        <w:br w:type="textWrapping"/>
      </w:r>
      <w:r>
        <w:rPr>
          <w:rFonts w:ascii="Consolas" w:hAnsi="Consolas" w:eastAsia="Consolas"/>
          <w:b w:val="0"/>
          <w:i w:val="0"/>
          <w:sz w:val="19"/>
        </w:rPr>
        <w:t xml:space="preserve">  });</w:t>
      </w:r>
      <w:r>
        <w:rPr>
          <w:rFonts w:ascii="Consolas" w:hAnsi="Consolas" w:eastAsia="Consolas"/>
          <w:b w:val="0"/>
          <w:i w:val="0"/>
          <w:sz w:val="19"/>
        </w:rPr>
        <w:br w:type="textWrapping"/>
      </w:r>
      <w:r>
        <w:rPr>
          <w:rFonts w:ascii="Consolas" w:hAnsi="Consolas" w:eastAsia="Consolas"/>
          <w:b w:val="0"/>
          <w:i w:val="0"/>
          <w:sz w:val="19"/>
        </w:rPr>
        <w:t>}</w:t>
      </w:r>
      <w:r>
        <w:rPr>
          <w:rFonts w:ascii="Consolas" w:hAnsi="Consolas" w:eastAsia="Consolas"/>
          <w:b w:val="0"/>
          <w:i w:val="0"/>
          <w:sz w:val="19"/>
        </w:rPr>
        <w:br w:type="textWrapping"/>
      </w:r>
      <w:r>
        <w:rPr>
          <w:rFonts w:ascii="Consolas" w:hAnsi="Consolas" w:eastAsia="Consolas"/>
          <w:b w:val="0"/>
          <w:i w:val="0"/>
          <w:sz w:val="19"/>
        </w:rPr>
        <w:br w:type="textWrapping"/>
      </w:r>
      <w:r>
        <w:rPr>
          <w:rFonts w:ascii="Consolas" w:hAnsi="Consolas" w:eastAsia="Consolas"/>
          <w:b w:val="0"/>
          <w:i w:val="0"/>
          <w:sz w:val="19"/>
        </w:rPr>
        <w:t>// huawei_hardware_adapter.dart</w:t>
      </w:r>
      <w:r>
        <w:rPr>
          <w:rFonts w:ascii="Consolas" w:hAnsi="Consolas" w:eastAsia="Consolas"/>
          <w:b w:val="0"/>
          <w:i w:val="0"/>
          <w:sz w:val="19"/>
        </w:rPr>
        <w:br w:type="textWrapping"/>
      </w:r>
      <w:r>
        <w:rPr>
          <w:rFonts w:ascii="Consolas" w:hAnsi="Consolas" w:eastAsia="Consolas"/>
          <w:b w:val="0"/>
          <w:i w:val="0"/>
          <w:sz w:val="19"/>
        </w:rPr>
        <w:t>class HuaweiHardwareAdapter implements BaseHardwareAdapter {</w:t>
      </w:r>
      <w:r>
        <w:rPr>
          <w:rFonts w:ascii="Consolas" w:hAnsi="Consolas" w:eastAsia="Consolas"/>
          <w:b w:val="0"/>
          <w:i w:val="0"/>
          <w:sz w:val="19"/>
        </w:rPr>
        <w:br w:type="textWrapping"/>
      </w:r>
      <w:r>
        <w:rPr>
          <w:rFonts w:ascii="Consolas" w:hAnsi="Consolas" w:eastAsia="Consolas"/>
          <w:b w:val="0"/>
          <w:i w:val="0"/>
          <w:sz w:val="19"/>
        </w:rPr>
        <w:t xml:space="preserve">  @override</w:t>
      </w:r>
      <w:r>
        <w:rPr>
          <w:rFonts w:ascii="Consolas" w:hAnsi="Consolas" w:eastAsia="Consolas"/>
          <w:b w:val="0"/>
          <w:i w:val="0"/>
          <w:sz w:val="19"/>
        </w:rPr>
        <w:br w:type="textWrapping"/>
      </w:r>
      <w:r>
        <w:rPr>
          <w:rFonts w:ascii="Consolas" w:hAnsi="Consolas" w:eastAsia="Consolas"/>
          <w:b w:val="0"/>
          <w:i w:val="0"/>
          <w:sz w:val="19"/>
        </w:rPr>
        <w:t xml:space="preserve">  String get deviceName =&gt; "Huawei Band 8 Pro";</w:t>
      </w:r>
      <w:r>
        <w:rPr>
          <w:rFonts w:ascii="Consolas" w:hAnsi="Consolas" w:eastAsia="Consolas"/>
          <w:b w:val="0"/>
          <w:i w:val="0"/>
          <w:sz w:val="19"/>
        </w:rPr>
        <w:br w:type="textWrapping"/>
      </w:r>
      <w:r>
        <w:rPr>
          <w:rFonts w:ascii="Consolas" w:hAnsi="Consolas" w:eastAsia="Consolas"/>
          <w:b w:val="0"/>
          <w:i w:val="0"/>
          <w:sz w:val="19"/>
        </w:rPr>
        <w:br w:type="textWrapping"/>
      </w:r>
      <w:r>
        <w:rPr>
          <w:rFonts w:ascii="Consolas" w:hAnsi="Consolas" w:eastAsia="Consolas"/>
          <w:b w:val="0"/>
          <w:i w:val="0"/>
          <w:sz w:val="19"/>
        </w:rPr>
        <w:t xml:space="preserve">  @override</w:t>
      </w:r>
      <w:r>
        <w:rPr>
          <w:rFonts w:ascii="Consolas" w:hAnsi="Consolas" w:eastAsia="Consolas"/>
          <w:b w:val="0"/>
          <w:i w:val="0"/>
          <w:sz w:val="19"/>
        </w:rPr>
        <w:br w:type="textWrapping"/>
      </w:r>
      <w:r>
        <w:rPr>
          <w:rFonts w:ascii="Consolas" w:hAnsi="Consolas" w:eastAsia="Consolas"/>
          <w:b w:val="0"/>
          <w:i w:val="0"/>
          <w:sz w:val="19"/>
        </w:rPr>
        <w:t xml:space="preserve">  Future&lt;bool&gt; connect() async {</w:t>
      </w:r>
      <w:r>
        <w:rPr>
          <w:rFonts w:ascii="Consolas" w:hAnsi="Consolas" w:eastAsia="Consolas"/>
          <w:b w:val="0"/>
          <w:i w:val="0"/>
          <w:sz w:val="19"/>
        </w:rPr>
        <w:br w:type="textWrapping"/>
      </w:r>
      <w:r>
        <w:rPr>
          <w:rFonts w:ascii="Consolas" w:hAnsi="Consolas" w:eastAsia="Consolas"/>
          <w:b w:val="0"/>
          <w:i w:val="0"/>
          <w:sz w:val="19"/>
        </w:rPr>
        <w:t xml:space="preserve">    // 模拟对接华为 Health Kit 蓝牙通讯协议链路</w:t>
      </w:r>
      <w:r>
        <w:rPr>
          <w:rFonts w:ascii="Consolas" w:hAnsi="Consolas" w:eastAsia="Consolas"/>
          <w:b w:val="0"/>
          <w:i w:val="0"/>
          <w:sz w:val="19"/>
        </w:rPr>
        <w:br w:type="textWrapping"/>
      </w:r>
      <w:r>
        <w:rPr>
          <w:rFonts w:ascii="Consolas" w:hAnsi="Consolas" w:eastAsia="Consolas"/>
          <w:b w:val="0"/>
          <w:i w:val="0"/>
          <w:sz w:val="19"/>
        </w:rPr>
        <w:t xml:space="preserve">    await Future.delayed(const Duration(milliseconds: 500));</w:t>
      </w:r>
      <w:r>
        <w:rPr>
          <w:rFonts w:ascii="Consolas" w:hAnsi="Consolas" w:eastAsia="Consolas"/>
          <w:b w:val="0"/>
          <w:i w:val="0"/>
          <w:sz w:val="19"/>
        </w:rPr>
        <w:br w:type="textWrapping"/>
      </w:r>
      <w:r>
        <w:rPr>
          <w:rFonts w:ascii="Consolas" w:hAnsi="Consolas" w:eastAsia="Consolas"/>
          <w:b w:val="0"/>
          <w:i w:val="0"/>
          <w:sz w:val="19"/>
        </w:rPr>
        <w:t xml:space="preserve">    return true;</w:t>
      </w:r>
      <w:r>
        <w:rPr>
          <w:rFonts w:ascii="Consolas" w:hAnsi="Consolas" w:eastAsia="Consolas"/>
          <w:b w:val="0"/>
          <w:i w:val="0"/>
          <w:sz w:val="19"/>
        </w:rPr>
        <w:br w:type="textWrapping"/>
      </w:r>
      <w:r>
        <w:rPr>
          <w:rFonts w:ascii="Consolas" w:hAnsi="Consolas" w:eastAsia="Consolas"/>
          <w:b w:val="0"/>
          <w:i w:val="0"/>
          <w:sz w:val="19"/>
        </w:rPr>
        <w:t xml:space="preserve">  }</w:t>
      </w:r>
      <w:r>
        <w:rPr>
          <w:rFonts w:ascii="Consolas" w:hAnsi="Consolas" w:eastAsia="Consolas"/>
          <w:b w:val="0"/>
          <w:i w:val="0"/>
          <w:sz w:val="19"/>
        </w:rPr>
        <w:br w:type="textWrapping"/>
      </w:r>
      <w:r>
        <w:rPr>
          <w:rFonts w:ascii="Consolas" w:hAnsi="Consolas" w:eastAsia="Consolas"/>
          <w:b w:val="0"/>
          <w:i w:val="0"/>
          <w:sz w:val="19"/>
        </w:rPr>
        <w:br w:type="textWrapping"/>
      </w:r>
      <w:r>
        <w:rPr>
          <w:rFonts w:ascii="Consolas" w:hAnsi="Consolas" w:eastAsia="Consolas"/>
          <w:b w:val="0"/>
          <w:i w:val="0"/>
          <w:sz w:val="19"/>
        </w:rPr>
        <w:t xml:space="preserve">  @override</w:t>
      </w:r>
      <w:r>
        <w:rPr>
          <w:rFonts w:ascii="Consolas" w:hAnsi="Consolas" w:eastAsia="Consolas"/>
          <w:b w:val="0"/>
          <w:i w:val="0"/>
          <w:sz w:val="19"/>
        </w:rPr>
        <w:br w:type="textWrapping"/>
      </w:r>
      <w:r>
        <w:rPr>
          <w:rFonts w:ascii="Consolas" w:hAnsi="Consolas" w:eastAsia="Consolas"/>
          <w:b w:val="0"/>
          <w:i w:val="0"/>
          <w:sz w:val="19"/>
        </w:rPr>
        <w:t xml:space="preserve">  Future&lt;NormalizedHealthData&gt; fetchLatestData() async {</w:t>
      </w:r>
      <w:r>
        <w:rPr>
          <w:rFonts w:ascii="Consolas" w:hAnsi="Consolas" w:eastAsia="Consolas"/>
          <w:b w:val="0"/>
          <w:i w:val="0"/>
          <w:sz w:val="19"/>
        </w:rPr>
        <w:br w:type="textWrapping"/>
      </w:r>
      <w:r>
        <w:rPr>
          <w:rFonts w:ascii="Consolas" w:hAnsi="Consolas" w:eastAsia="Consolas"/>
          <w:b w:val="0"/>
          <w:i w:val="0"/>
          <w:sz w:val="19"/>
        </w:rPr>
        <w:t xml:space="preserve">    // 假设此处通过 SDK 或蓝牙特征值拿到华为专属的 JSON Raw 数据</w:t>
      </w:r>
      <w:r>
        <w:rPr>
          <w:rFonts w:ascii="Consolas" w:hAnsi="Consolas" w:eastAsia="Consolas"/>
          <w:b w:val="0"/>
          <w:i w:val="0"/>
          <w:sz w:val="19"/>
        </w:rPr>
        <w:br w:type="textWrapping"/>
      </w:r>
      <w:r>
        <w:rPr>
          <w:rFonts w:ascii="Consolas" w:hAnsi="Consolas" w:eastAsia="Consolas"/>
          <w:b w:val="0"/>
          <w:i w:val="0"/>
          <w:sz w:val="19"/>
        </w:rPr>
        <w:t xml:space="preserve">    Map&lt;String, dynamic&gt; rawJsonFromHuawei = {</w:t>
      </w:r>
      <w:r>
        <w:rPr>
          <w:rFonts w:ascii="Consolas" w:hAnsi="Consolas" w:eastAsia="Consolas"/>
          <w:b w:val="0"/>
          <w:i w:val="0"/>
          <w:sz w:val="19"/>
        </w:rPr>
        <w:br w:type="textWrapping"/>
      </w:r>
      <w:r>
        <w:rPr>
          <w:rFonts w:ascii="Consolas" w:hAnsi="Consolas" w:eastAsia="Consolas"/>
          <w:b w:val="0"/>
          <w:i w:val="0"/>
          <w:sz w:val="19"/>
        </w:rPr>
        <w:t xml:space="preserve">      "avg_heart_rate": 138,</w:t>
      </w:r>
      <w:r>
        <w:rPr>
          <w:rFonts w:ascii="Consolas" w:hAnsi="Consolas" w:eastAsia="Consolas"/>
          <w:b w:val="0"/>
          <w:i w:val="0"/>
          <w:sz w:val="19"/>
        </w:rPr>
        <w:br w:type="textWrapping"/>
      </w:r>
      <w:r>
        <w:rPr>
          <w:rFonts w:ascii="Consolas" w:hAnsi="Consolas" w:eastAsia="Consolas"/>
          <w:b w:val="0"/>
          <w:i w:val="0"/>
          <w:sz w:val="19"/>
        </w:rPr>
        <w:t xml:space="preserve">      "total_steps": 4820,</w:t>
      </w:r>
      <w:r>
        <w:rPr>
          <w:rFonts w:ascii="Consolas" w:hAnsi="Consolas" w:eastAsia="Consolas"/>
          <w:b w:val="0"/>
          <w:i w:val="0"/>
          <w:sz w:val="19"/>
        </w:rPr>
        <w:br w:type="textWrapping"/>
      </w:r>
      <w:r>
        <w:rPr>
          <w:rFonts w:ascii="Consolas" w:hAnsi="Consolas" w:eastAsia="Consolas"/>
          <w:b w:val="0"/>
          <w:i w:val="0"/>
          <w:sz w:val="19"/>
        </w:rPr>
        <w:t xml:space="preserve">      "spo2_percent": 0.985,</w:t>
      </w:r>
      <w:r>
        <w:rPr>
          <w:rFonts w:ascii="Consolas" w:hAnsi="Consolas" w:eastAsia="Consolas"/>
          <w:b w:val="0"/>
          <w:i w:val="0"/>
          <w:sz w:val="19"/>
        </w:rPr>
        <w:br w:type="textWrapping"/>
      </w:r>
      <w:r>
        <w:rPr>
          <w:rFonts w:ascii="Consolas" w:hAnsi="Consolas" w:eastAsia="Consolas"/>
          <w:b w:val="0"/>
          <w:i w:val="0"/>
          <w:sz w:val="19"/>
        </w:rPr>
        <w:t xml:space="preserve">      "sleep_hours_raw": 6.8,</w:t>
      </w:r>
      <w:r>
        <w:rPr>
          <w:rFonts w:ascii="Consolas" w:hAnsi="Consolas" w:eastAsia="Consolas"/>
          <w:b w:val="0"/>
          <w:i w:val="0"/>
          <w:sz w:val="19"/>
        </w:rPr>
        <w:br w:type="textWrapping"/>
      </w:r>
      <w:r>
        <w:rPr>
          <w:rFonts w:ascii="Consolas" w:hAnsi="Consolas" w:eastAsia="Consolas"/>
          <w:b w:val="0"/>
          <w:i w:val="0"/>
          <w:sz w:val="19"/>
        </w:rPr>
        <w:t xml:space="preserve">      "device_timestamp": DateTime.now().millisecondsSinceEpoch</w:t>
      </w:r>
      <w:r>
        <w:rPr>
          <w:rFonts w:ascii="Consolas" w:hAnsi="Consolas" w:eastAsia="Consolas"/>
          <w:b w:val="0"/>
          <w:i w:val="0"/>
          <w:sz w:val="19"/>
        </w:rPr>
        <w:br w:type="textWrapping"/>
      </w:r>
      <w:r>
        <w:rPr>
          <w:rFonts w:ascii="Consolas" w:hAnsi="Consolas" w:eastAsia="Consolas"/>
          <w:b w:val="0"/>
          <w:i w:val="0"/>
          <w:sz w:val="19"/>
        </w:rPr>
        <w:t xml:space="preserve">    };</w:t>
      </w:r>
      <w:r>
        <w:rPr>
          <w:rFonts w:ascii="Consolas" w:hAnsi="Consolas" w:eastAsia="Consolas"/>
          <w:b w:val="0"/>
          <w:i w:val="0"/>
          <w:sz w:val="19"/>
        </w:rPr>
        <w:br w:type="textWrapping"/>
      </w:r>
      <w:r>
        <w:rPr>
          <w:rFonts w:ascii="Consolas" w:hAnsi="Consolas" w:eastAsia="Consolas"/>
          <w:b w:val="0"/>
          <w:i w:val="0"/>
          <w:sz w:val="19"/>
        </w:rPr>
        <w:br w:type="textWrapping"/>
      </w:r>
      <w:r>
        <w:rPr>
          <w:rFonts w:ascii="Consolas" w:hAnsi="Consolas" w:eastAsia="Consolas"/>
          <w:b w:val="0"/>
          <w:i w:val="0"/>
          <w:sz w:val="19"/>
        </w:rPr>
        <w:t xml:space="preserve">    // 数据清洗与适配层清洗逻辑（归一化）</w:t>
      </w:r>
      <w:r>
        <w:rPr>
          <w:rFonts w:ascii="Consolas" w:hAnsi="Consolas" w:eastAsia="Consolas"/>
          <w:b w:val="0"/>
          <w:i w:val="0"/>
          <w:sz w:val="19"/>
        </w:rPr>
        <w:br w:type="textWrapping"/>
      </w:r>
      <w:r>
        <w:rPr>
          <w:rFonts w:ascii="Consolas" w:hAnsi="Consolas" w:eastAsia="Consolas"/>
          <w:b w:val="0"/>
          <w:i w:val="0"/>
          <w:sz w:val="19"/>
        </w:rPr>
        <w:t xml:space="preserve">    return NormalizedHealthData(</w:t>
      </w:r>
      <w:r>
        <w:rPr>
          <w:rFonts w:ascii="Consolas" w:hAnsi="Consolas" w:eastAsia="Consolas"/>
          <w:b w:val="0"/>
          <w:i w:val="0"/>
          <w:sz w:val="19"/>
        </w:rPr>
        <w:br w:type="textWrapping"/>
      </w:r>
      <w:r>
        <w:rPr>
          <w:rFonts w:ascii="Consolas" w:hAnsi="Consolas" w:eastAsia="Consolas"/>
          <w:b w:val="0"/>
          <w:i w:val="0"/>
          <w:sz w:val="19"/>
        </w:rPr>
        <w:t xml:space="preserve">      heartRate: rawJsonFromHuawei["avg_heart_rate"] as int,</w:t>
      </w:r>
      <w:r>
        <w:rPr>
          <w:rFonts w:ascii="Consolas" w:hAnsi="Consolas" w:eastAsia="Consolas"/>
          <w:b w:val="0"/>
          <w:i w:val="0"/>
          <w:sz w:val="19"/>
        </w:rPr>
        <w:br w:type="textWrapping"/>
      </w:r>
      <w:r>
        <w:rPr>
          <w:rFonts w:ascii="Consolas" w:hAnsi="Consolas" w:eastAsia="Consolas"/>
          <w:b w:val="0"/>
          <w:i w:val="0"/>
          <w:sz w:val="19"/>
        </w:rPr>
        <w:t xml:space="preserve">      stepCount: rawJsonFromHuawei["total_steps"] as int,</w:t>
      </w:r>
      <w:r>
        <w:rPr>
          <w:rFonts w:ascii="Consolas" w:hAnsi="Consolas" w:eastAsia="Consolas"/>
          <w:b w:val="0"/>
          <w:i w:val="0"/>
          <w:sz w:val="19"/>
        </w:rPr>
        <w:br w:type="textWrapping"/>
      </w:r>
      <w:r>
        <w:rPr>
          <w:rFonts w:ascii="Consolas" w:hAnsi="Consolas" w:eastAsia="Consolas"/>
          <w:b w:val="0"/>
          <w:i w:val="0"/>
          <w:sz w:val="19"/>
        </w:rPr>
        <w:t xml:space="preserve">      bloodOxygen: rawJsonFromHuawei["spo2_percent"] as double,</w:t>
      </w:r>
      <w:r>
        <w:rPr>
          <w:rFonts w:ascii="Consolas" w:hAnsi="Consolas" w:eastAsia="Consolas"/>
          <w:b w:val="0"/>
          <w:i w:val="0"/>
          <w:sz w:val="19"/>
        </w:rPr>
        <w:br w:type="textWrapping"/>
      </w:r>
      <w:r>
        <w:rPr>
          <w:rFonts w:ascii="Consolas" w:hAnsi="Consolas" w:eastAsia="Consolas"/>
          <w:b w:val="0"/>
          <w:i w:val="0"/>
          <w:sz w:val="19"/>
        </w:rPr>
        <w:t xml:space="preserve">      sleepDuration: rawJsonFromHuawei["sleep_hours_raw"] as double,</w:t>
      </w:r>
      <w:r>
        <w:rPr>
          <w:rFonts w:ascii="Consolas" w:hAnsi="Consolas" w:eastAsia="Consolas"/>
          <w:b w:val="0"/>
          <w:i w:val="0"/>
          <w:sz w:val="19"/>
        </w:rPr>
        <w:br w:type="textWrapping"/>
      </w:r>
      <w:r>
        <w:rPr>
          <w:rFonts w:ascii="Consolas" w:hAnsi="Consolas" w:eastAsia="Consolas"/>
          <w:b w:val="0"/>
          <w:i w:val="0"/>
          <w:sz w:val="19"/>
        </w:rPr>
        <w:t xml:space="preserve">      timestamp: DateTime.fromMillisecondsSinceEpoch(rawJsonFromHuawei["device_timestamp"] as int),</w:t>
      </w:r>
      <w:r>
        <w:rPr>
          <w:rFonts w:ascii="Consolas" w:hAnsi="Consolas" w:eastAsia="Consolas"/>
          <w:b w:val="0"/>
          <w:i w:val="0"/>
          <w:sz w:val="19"/>
        </w:rPr>
        <w:br w:type="textWrapping"/>
      </w:r>
      <w:r>
        <w:rPr>
          <w:rFonts w:ascii="Consolas" w:hAnsi="Consolas" w:eastAsia="Consolas"/>
          <w:b w:val="0"/>
          <w:i w:val="0"/>
          <w:sz w:val="19"/>
        </w:rPr>
        <w:t xml:space="preserve">    );</w:t>
      </w:r>
      <w:r>
        <w:rPr>
          <w:rFonts w:ascii="Consolas" w:hAnsi="Consolas" w:eastAsia="Consolas"/>
          <w:b w:val="0"/>
          <w:i w:val="0"/>
          <w:sz w:val="19"/>
        </w:rPr>
        <w:br w:type="textWrapping"/>
      </w:r>
      <w:r>
        <w:rPr>
          <w:rFonts w:ascii="Consolas" w:hAnsi="Consolas" w:eastAsia="Consolas"/>
          <w:b w:val="0"/>
          <w:i w:val="0"/>
          <w:sz w:val="19"/>
        </w:rPr>
        <w:t xml:space="preserve">  }</w:t>
      </w:r>
      <w:r>
        <w:rPr>
          <w:rFonts w:ascii="Consolas" w:hAnsi="Consolas" w:eastAsia="Consolas"/>
          <w:b w:val="0"/>
          <w:i w:val="0"/>
          <w:sz w:val="19"/>
        </w:rPr>
        <w:br w:type="textWrapping"/>
      </w:r>
      <w:r>
        <w:rPr>
          <w:rFonts w:ascii="Consolas" w:hAnsi="Consolas" w:eastAsia="Consolas"/>
          <w:b w:val="0"/>
          <w:i w:val="0"/>
          <w:sz w:val="19"/>
        </w:rPr>
        <w:t>}</w:t>
      </w:r>
    </w:p>
    <w:p w14:paraId="48F7A482">
      <w:pPr>
        <w:pStyle w:val="4"/>
        <w:bidi w:val="0"/>
      </w:pPr>
      <w:r>
        <w:t>7.3 系统核心架构流程（Mermaid）</w:t>
      </w:r>
    </w:p>
    <w:p w14:paraId="2953B473">
      <w:pPr>
        <w:spacing w:before="40" w:after="120" w:line="300" w:lineRule="auto"/>
        <w:rPr>
          <w:rFonts w:ascii="Times New Roman" w:hAnsi="Times New Roman" w:eastAsia="宋体"/>
          <w:b w:val="0"/>
          <w:i w:val="0"/>
          <w:sz w:val="21"/>
        </w:rPr>
      </w:pPr>
      <w:r>
        <w:rPr>
          <w:rFonts w:ascii="Times New Roman" w:hAnsi="Times New Roman" w:eastAsia="宋体"/>
          <w:b w:val="0"/>
          <w:i w:val="0"/>
          <w:sz w:val="21"/>
        </w:rPr>
        <w:t>Flying Run 整个业务生态的数据流与模块依赖关系如下图所示：</w:t>
      </w:r>
    </w:p>
    <w:p w14:paraId="0620A3B4">
      <w:pPr>
        <w:spacing w:before="40" w:after="120" w:line="300" w:lineRule="auto"/>
        <w:rPr>
          <w:rFonts w:hint="eastAsia" w:ascii="Times New Roman" w:hAnsi="Times New Roman" w:eastAsia="宋体"/>
          <w:b w:val="0"/>
          <w:i w:val="0"/>
          <w:sz w:val="21"/>
          <w:lang w:eastAsia="zh-CN"/>
        </w:rPr>
      </w:pPr>
      <w:r>
        <w:rPr>
          <w:rFonts w:hint="eastAsia"/>
          <w:b w:val="0"/>
          <w:i w:val="0"/>
          <w:sz w:val="21"/>
          <w:lang w:val="en-US" w:eastAsia="zh-CN"/>
        </w:rPr>
        <w:t xml:space="preserve">   </w:t>
      </w:r>
      <w:r>
        <w:rPr>
          <w:rFonts w:hint="eastAsia" w:ascii="Times New Roman" w:hAnsi="Times New Roman" w:eastAsia="宋体"/>
          <w:b w:val="0"/>
          <w:i w:val="0"/>
          <w:sz w:val="21"/>
          <w:lang w:eastAsia="zh-CN"/>
        </w:rPr>
        <w:drawing>
          <wp:inline distT="0" distB="0" distL="114300" distR="114300">
            <wp:extent cx="4982210" cy="2824480"/>
            <wp:effectExtent l="0" t="0" r="8890" b="13970"/>
            <wp:docPr id="14" name="图片 14" descr="360截图20260609133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60截图20260609133028"/>
                    <pic:cNvPicPr>
                      <a:picLocks noChangeAspect="1"/>
                    </pic:cNvPicPr>
                  </pic:nvPicPr>
                  <pic:blipFill>
                    <a:blip r:embed="rId16"/>
                    <a:stretch>
                      <a:fillRect/>
                    </a:stretch>
                  </pic:blipFill>
                  <pic:spPr>
                    <a:xfrm>
                      <a:off x="0" y="0"/>
                      <a:ext cx="4982210" cy="2824480"/>
                    </a:xfrm>
                    <a:prstGeom prst="rect">
                      <a:avLst/>
                    </a:prstGeom>
                  </pic:spPr>
                </pic:pic>
              </a:graphicData>
            </a:graphic>
          </wp:inline>
        </w:drawing>
      </w:r>
    </w:p>
    <w:p w14:paraId="0AB4B9F4">
      <w:pPr>
        <w:pStyle w:val="3"/>
        <w:bidi w:val="0"/>
      </w:pPr>
      <w:r>
        <w:t>第八章 市场推演分析</w:t>
      </w:r>
    </w:p>
    <w:p w14:paraId="6B9A43A1">
      <w:pPr>
        <w:pStyle w:val="4"/>
        <w:bidi w:val="0"/>
      </w:pPr>
      <w:r>
        <w:t>8.1 市场大盘数据与细分估算</w:t>
      </w:r>
    </w:p>
    <w:p w14:paraId="490123A9">
      <w:pPr>
        <w:spacing w:before="40" w:after="120" w:line="300" w:lineRule="auto"/>
      </w:pPr>
      <w:r>
        <w:rPr>
          <w:rFonts w:ascii="Times New Roman" w:hAnsi="Times New Roman" w:eastAsia="宋体"/>
          <w:b w:val="0"/>
          <w:i w:val="0"/>
          <w:sz w:val="21"/>
        </w:rPr>
        <w:t>根据国家体育总局发布的《2025全民健身活动状况调查公报》与艾瑞咨询的行业分析，国内大健康及数字体育产业正以惊人的速度扩张：</w:t>
      </w:r>
    </w:p>
    <w:p w14:paraId="2B69912E">
      <w:pPr>
        <w:spacing w:before="20" w:after="40" w:line="276" w:lineRule="auto"/>
        <w:ind w:left="360"/>
      </w:pPr>
      <w:r>
        <w:rPr>
          <w:rFonts w:ascii="Times New Roman" w:hAnsi="Times New Roman" w:eastAsia="宋体"/>
          <w:b w:val="0"/>
          <w:i w:val="0"/>
          <w:sz w:val="21"/>
        </w:rPr>
        <w:t xml:space="preserve">1. </w:t>
      </w:r>
      <w:r>
        <w:rPr>
          <w:rFonts w:ascii="Times New Roman" w:hAnsi="Times New Roman" w:eastAsia="宋体"/>
          <w:b/>
          <w:i w:val="0"/>
          <w:sz w:val="21"/>
        </w:rPr>
        <w:t>AI健身与软件市场</w:t>
      </w:r>
      <w:r>
        <w:rPr>
          <w:rFonts w:ascii="Times New Roman" w:hAnsi="Times New Roman" w:eastAsia="宋体"/>
          <w:b w:val="0"/>
          <w:i w:val="0"/>
          <w:sz w:val="21"/>
        </w:rPr>
        <w:t xml:space="preserve">：2024年中国 AI 智能健身行业市场规模已达到 </w:t>
      </w:r>
      <w:r>
        <w:rPr>
          <w:rFonts w:ascii="Times New Roman" w:hAnsi="Times New Roman" w:eastAsia="宋体"/>
          <w:b/>
          <w:i w:val="0"/>
          <w:sz w:val="21"/>
        </w:rPr>
        <w:t>523亿元</w:t>
      </w:r>
      <w:r>
        <w:rPr>
          <w:rFonts w:ascii="Times New Roman" w:hAnsi="Times New Roman" w:eastAsia="宋体"/>
          <w:b w:val="0"/>
          <w:i w:val="0"/>
          <w:sz w:val="21"/>
        </w:rPr>
        <w:t xml:space="preserve">，增速高达 50.29%；预计到2025年该细分市场将飙升至 </w:t>
      </w:r>
      <w:r>
        <w:rPr>
          <w:rFonts w:ascii="Times New Roman" w:hAnsi="Times New Roman" w:eastAsia="宋体"/>
          <w:b/>
          <w:i w:val="0"/>
          <w:sz w:val="21"/>
        </w:rPr>
        <w:t>821.6亿元</w:t>
      </w:r>
      <w:r>
        <w:rPr>
          <w:rFonts w:ascii="Times New Roman" w:hAnsi="Times New Roman" w:eastAsia="宋体"/>
          <w:b w:val="0"/>
          <w:i w:val="0"/>
          <w:sz w:val="21"/>
        </w:rPr>
        <w:t>，线上活跃用户规模达 2.87亿人。</w:t>
      </w:r>
    </w:p>
    <w:p w14:paraId="5930E13F">
      <w:pPr>
        <w:spacing w:before="20" w:after="40" w:line="276" w:lineRule="auto"/>
        <w:ind w:left="360"/>
      </w:pPr>
      <w:r>
        <w:rPr>
          <w:rFonts w:ascii="Times New Roman" w:hAnsi="Times New Roman" w:eastAsia="宋体"/>
          <w:b w:val="0"/>
          <w:i w:val="0"/>
          <w:sz w:val="21"/>
        </w:rPr>
        <w:t xml:space="preserve">2. </w:t>
      </w:r>
      <w:r>
        <w:rPr>
          <w:rFonts w:ascii="Times New Roman" w:hAnsi="Times New Roman" w:eastAsia="宋体"/>
          <w:b/>
          <w:i w:val="0"/>
          <w:sz w:val="21"/>
        </w:rPr>
        <w:t>智能穿戴设备市场</w:t>
      </w:r>
      <w:r>
        <w:rPr>
          <w:rFonts w:ascii="Times New Roman" w:hAnsi="Times New Roman" w:eastAsia="宋体"/>
          <w:b w:val="0"/>
          <w:i w:val="0"/>
          <w:sz w:val="21"/>
        </w:rPr>
        <w:t xml:space="preserve">：IDC 指出，2025年国内智能可穿戴健康硬件设备大盘预计为 </w:t>
      </w:r>
      <w:r>
        <w:rPr>
          <w:rFonts w:ascii="Times New Roman" w:hAnsi="Times New Roman" w:eastAsia="宋体"/>
          <w:b/>
          <w:i w:val="0"/>
          <w:sz w:val="21"/>
        </w:rPr>
        <w:t>707亿元</w:t>
      </w:r>
      <w:r>
        <w:rPr>
          <w:rFonts w:ascii="Times New Roman" w:hAnsi="Times New Roman" w:eastAsia="宋体"/>
          <w:b w:val="0"/>
          <w:i w:val="0"/>
          <w:sz w:val="21"/>
        </w:rPr>
        <w:t>，年复合增长率（CAGR）维持在 14.9% 以上。</w:t>
      </w:r>
    </w:p>
    <w:p w14:paraId="30BF93F8">
      <w:pPr>
        <w:spacing w:before="20" w:after="40" w:line="276" w:lineRule="auto"/>
        <w:ind w:left="360"/>
      </w:pPr>
      <w:r>
        <w:rPr>
          <w:rFonts w:ascii="Times New Roman" w:hAnsi="Times New Roman" w:eastAsia="宋体"/>
          <w:b w:val="0"/>
          <w:i w:val="0"/>
          <w:sz w:val="21"/>
        </w:rPr>
        <w:t xml:space="preserve">3. </w:t>
      </w:r>
      <w:r>
        <w:rPr>
          <w:rFonts w:ascii="Times New Roman" w:hAnsi="Times New Roman" w:eastAsia="宋体"/>
          <w:b/>
          <w:i w:val="0"/>
          <w:sz w:val="21"/>
        </w:rPr>
        <w:t>AI情感陪伴大市场</w:t>
      </w:r>
      <w:r>
        <w:rPr>
          <w:rFonts w:ascii="Times New Roman" w:hAnsi="Times New Roman" w:eastAsia="宋体"/>
          <w:b w:val="0"/>
          <w:i w:val="0"/>
          <w:sz w:val="21"/>
        </w:rPr>
        <w:t xml:space="preserve">：2025年全球 AI 陪伴与情感交互市场规模约为 </w:t>
      </w:r>
      <w:r>
        <w:rPr>
          <w:rFonts w:ascii="Times New Roman" w:hAnsi="Times New Roman" w:eastAsia="宋体"/>
          <w:b/>
          <w:i w:val="0"/>
          <w:sz w:val="21"/>
        </w:rPr>
        <w:t>377亿美元</w:t>
      </w:r>
      <w:r>
        <w:rPr>
          <w:rFonts w:ascii="Times New Roman" w:hAnsi="Times New Roman" w:eastAsia="宋体"/>
          <w:b w:val="0"/>
          <w:i w:val="0"/>
          <w:sz w:val="21"/>
        </w:rPr>
        <w:t xml:space="preserve">，预计到2034年将激增至 </w:t>
      </w:r>
      <w:r>
        <w:rPr>
          <w:rFonts w:ascii="Times New Roman" w:hAnsi="Times New Roman" w:eastAsia="宋体"/>
          <w:b/>
          <w:i w:val="0"/>
          <w:sz w:val="21"/>
        </w:rPr>
        <w:t>4,300亿美元以上</w:t>
      </w:r>
      <w:r>
        <w:rPr>
          <w:rFonts w:ascii="Times New Roman" w:hAnsi="Times New Roman" w:eastAsia="宋体"/>
          <w:b w:val="0"/>
          <w:i w:val="0"/>
          <w:sz w:val="21"/>
        </w:rPr>
        <w:t xml:space="preserve">，年复合增长率（CAGR）维持在 </w:t>
      </w:r>
      <w:r>
        <w:rPr>
          <w:rFonts w:ascii="Times New Roman" w:hAnsi="Times New Roman" w:eastAsia="宋体"/>
          <w:b/>
          <w:i w:val="0"/>
          <w:sz w:val="21"/>
        </w:rPr>
        <w:t>31.3%</w:t>
      </w:r>
      <w:r>
        <w:rPr>
          <w:rFonts w:ascii="Times New Roman" w:hAnsi="Times New Roman" w:eastAsia="宋体"/>
          <w:b w:val="0"/>
          <w:i w:val="0"/>
          <w:sz w:val="21"/>
        </w:rPr>
        <w:t xml:space="preserve"> 的极高增长区间[10]。Flying Run 将 AI 陪伴与数字体育垂直赛道深度融合，撬动的是复合型的健康与情感消费大盘。</w:t>
      </w:r>
    </w:p>
    <w:p w14:paraId="77A76B27">
      <w:pPr>
        <w:spacing w:before="40" w:after="120" w:line="300" w:lineRule="auto"/>
      </w:pPr>
      <w:r>
        <w:rPr>
          <w:rFonts w:ascii="Times New Roman" w:hAnsi="Times New Roman" w:eastAsia="宋体"/>
          <w:b w:val="0"/>
          <w:i w:val="0"/>
          <w:sz w:val="21"/>
        </w:rPr>
        <w:t>为直观展示我国全民健身政策发展目标，下图描绘了 2015 至 2030 年经常参加体育锻炼人数比例的发展轨迹及未来规划目标：</w:t>
      </w:r>
    </w:p>
    <w:p w14:paraId="3E0BA444">
      <w:pPr>
        <w:spacing w:before="160" w:after="80"/>
        <w:jc w:val="center"/>
      </w:pPr>
      <w:r>
        <w:drawing>
          <wp:inline distT="0" distB="0" distL="114300" distR="114300">
            <wp:extent cx="4754880" cy="2832100"/>
            <wp:effectExtent l="0" t="0" r="762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4754880" cy="2832694"/>
                    </a:xfrm>
                    <a:prstGeom prst="rect">
                      <a:avLst/>
                    </a:prstGeom>
                  </pic:spPr>
                </pic:pic>
              </a:graphicData>
            </a:graphic>
          </wp:inline>
        </w:drawing>
      </w:r>
    </w:p>
    <w:p w14:paraId="4D14346C">
      <w:pPr>
        <w:spacing w:before="40" w:after="160"/>
        <w:jc w:val="center"/>
      </w:pPr>
      <w:r>
        <w:rPr>
          <w:rFonts w:ascii="Times New Roman" w:hAnsi="Times New Roman" w:eastAsia="宋体"/>
          <w:b w:val="0"/>
          <w:i/>
          <w:sz w:val="19"/>
        </w:rPr>
        <w:t>图：2015-2030年中国经常参加体育锻炼人数比例演进及政策目标</w:t>
      </w:r>
    </w:p>
    <w:p w14:paraId="61AEE284">
      <w:pPr>
        <w:pStyle w:val="4"/>
        <w:bidi w:val="0"/>
      </w:pPr>
    </w:p>
    <w:p w14:paraId="196FF467">
      <w:pPr>
        <w:pStyle w:val="4"/>
        <w:bidi w:val="0"/>
      </w:pPr>
      <w:r>
        <w:t>8.2 趋势预测与财务预测</w:t>
      </w:r>
    </w:p>
    <w:p w14:paraId="7C53F014">
      <w:pPr>
        <w:spacing w:before="40" w:after="120" w:line="300" w:lineRule="auto"/>
      </w:pPr>
      <w:r>
        <w:rPr>
          <w:rFonts w:ascii="Times New Roman" w:hAnsi="Times New Roman" w:eastAsia="宋体"/>
          <w:b w:val="0"/>
          <w:i w:val="0"/>
          <w:sz w:val="21"/>
        </w:rPr>
        <w:t>基于当前的数据，我们使用 Python 预测了未来 5 年内（2023-2027年）中国 AI 智能健身软件及智能可穿戴健康硬件的市场规模变动趋势：</w:t>
      </w:r>
    </w:p>
    <w:p w14:paraId="3C17B9FF">
      <w:pPr>
        <w:spacing w:before="160" w:after="80"/>
        <w:jc w:val="center"/>
      </w:pPr>
      <w:r>
        <w:drawing>
          <wp:inline distT="0" distB="0" distL="114300" distR="114300">
            <wp:extent cx="4754880" cy="2821940"/>
            <wp:effectExtent l="0" t="0" r="7620"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4754880" cy="2822210"/>
                    </a:xfrm>
                    <a:prstGeom prst="rect">
                      <a:avLst/>
                    </a:prstGeom>
                  </pic:spPr>
                </pic:pic>
              </a:graphicData>
            </a:graphic>
          </wp:inline>
        </w:drawing>
      </w:r>
    </w:p>
    <w:p w14:paraId="61AD5EFB">
      <w:pPr>
        <w:spacing w:before="40" w:after="160"/>
        <w:jc w:val="center"/>
      </w:pPr>
      <w:r>
        <w:rPr>
          <w:rFonts w:ascii="Times New Roman" w:hAnsi="Times New Roman" w:eastAsia="宋体"/>
          <w:b w:val="0"/>
          <w:i/>
          <w:sz w:val="19"/>
        </w:rPr>
        <w:t>图：2023-2027年中国AI智能健身与智能可穿戴健康硬件市场规模及趋势预测</w:t>
      </w:r>
    </w:p>
    <w:p w14:paraId="354F9A1C">
      <w:pPr>
        <w:spacing w:before="40" w:after="120" w:line="300" w:lineRule="auto"/>
      </w:pPr>
      <w:r>
        <w:rPr>
          <w:rFonts w:ascii="Times New Roman" w:hAnsi="Times New Roman" w:eastAsia="宋体"/>
          <w:b w:val="0"/>
          <w:i w:val="0"/>
          <w:sz w:val="21"/>
        </w:rPr>
        <w:t>通过市场份额的逐步蚕食和增值变现，Flying Run 设定了如下财务与用户里程碑：</w:t>
      </w:r>
    </w:p>
    <w:p w14:paraId="4189BE22">
      <w:pPr>
        <w:pStyle w:val="5"/>
        <w:bidi w:val="0"/>
      </w:pPr>
    </w:p>
    <w:p w14:paraId="70892546">
      <w:pPr>
        <w:pStyle w:val="5"/>
        <w:bidi w:val="0"/>
      </w:pPr>
      <w:r>
        <w:t>8.2.1 三年期用户与财务推演表</w:t>
      </w:r>
    </w:p>
    <w:tbl>
      <w:tblPr>
        <w:tblStyle w:val="13"/>
        <w:tblW w:w="0" w:type="auto"/>
        <w:tblInd w:w="0" w:type="dxa"/>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710A696E">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c>
          <w:tcPr>
            <w:tcW w:w="1384" w:type="dxa"/>
            <w:shd w:val="clear" w:color="auto" w:fill="F2F2F2"/>
            <w:tcMar>
              <w:top w:w="100" w:type="dxa"/>
              <w:left w:w="150" w:type="dxa"/>
              <w:bottom w:w="100" w:type="dxa"/>
              <w:right w:w="150" w:type="dxa"/>
            </w:tcMar>
          </w:tcPr>
          <w:p w14:paraId="75D0E47A">
            <w:pPr>
              <w:jc w:val="center"/>
            </w:pPr>
            <w:r>
              <w:rPr>
                <w:rFonts w:ascii="Times New Roman" w:hAnsi="Times New Roman" w:eastAsia="微软雅黑"/>
                <w:b/>
                <w:i w:val="0"/>
                <w:sz w:val="20"/>
              </w:rPr>
              <w:t>运营周期（月份）</w:t>
            </w:r>
          </w:p>
        </w:tc>
        <w:tc>
          <w:tcPr>
            <w:tcW w:w="1384" w:type="dxa"/>
            <w:shd w:val="clear" w:color="auto" w:fill="F2F2F2"/>
            <w:tcMar>
              <w:top w:w="100" w:type="dxa"/>
              <w:left w:w="150" w:type="dxa"/>
              <w:bottom w:w="100" w:type="dxa"/>
              <w:right w:w="150" w:type="dxa"/>
            </w:tcMar>
          </w:tcPr>
          <w:p w14:paraId="5AC7B7D8">
            <w:pPr>
              <w:jc w:val="center"/>
            </w:pPr>
            <w:r>
              <w:rPr>
                <w:rFonts w:ascii="Times New Roman" w:hAnsi="Times New Roman" w:eastAsia="微软雅黑"/>
                <w:b/>
                <w:i w:val="0"/>
                <w:sz w:val="20"/>
              </w:rPr>
              <w:t>核心用户总量 (C端)</w:t>
            </w:r>
          </w:p>
        </w:tc>
        <w:tc>
          <w:tcPr>
            <w:tcW w:w="1384" w:type="dxa"/>
            <w:shd w:val="clear" w:color="auto" w:fill="F2F2F2"/>
            <w:tcMar>
              <w:top w:w="100" w:type="dxa"/>
              <w:left w:w="150" w:type="dxa"/>
              <w:bottom w:w="100" w:type="dxa"/>
              <w:right w:w="150" w:type="dxa"/>
            </w:tcMar>
          </w:tcPr>
          <w:p w14:paraId="55706DB2">
            <w:pPr>
              <w:jc w:val="center"/>
            </w:pPr>
            <w:r>
              <w:rPr>
                <w:rFonts w:ascii="Times New Roman" w:hAnsi="Times New Roman" w:eastAsia="微软雅黑"/>
                <w:b/>
                <w:i w:val="0"/>
                <w:sz w:val="20"/>
              </w:rPr>
              <w:t>签约高校数 (B端)</w:t>
            </w:r>
          </w:p>
        </w:tc>
        <w:tc>
          <w:tcPr>
            <w:tcW w:w="1384" w:type="dxa"/>
            <w:shd w:val="clear" w:color="auto" w:fill="F2F2F2"/>
            <w:tcMar>
              <w:top w:w="100" w:type="dxa"/>
              <w:left w:w="150" w:type="dxa"/>
              <w:bottom w:w="100" w:type="dxa"/>
              <w:right w:w="150" w:type="dxa"/>
            </w:tcMar>
          </w:tcPr>
          <w:p w14:paraId="7819B772">
            <w:pPr>
              <w:jc w:val="center"/>
            </w:pPr>
            <w:r>
              <w:rPr>
                <w:rFonts w:ascii="Times New Roman" w:hAnsi="Times New Roman" w:eastAsia="微软雅黑"/>
                <w:b/>
                <w:i w:val="0"/>
                <w:sz w:val="20"/>
              </w:rPr>
              <w:t>覆盖社区点位 (G端)</w:t>
            </w:r>
          </w:p>
        </w:tc>
        <w:tc>
          <w:tcPr>
            <w:tcW w:w="1384" w:type="dxa"/>
            <w:shd w:val="clear" w:color="auto" w:fill="F2F2F2"/>
            <w:tcMar>
              <w:top w:w="100" w:type="dxa"/>
              <w:left w:w="150" w:type="dxa"/>
              <w:bottom w:w="100" w:type="dxa"/>
              <w:right w:w="150" w:type="dxa"/>
            </w:tcMar>
          </w:tcPr>
          <w:p w14:paraId="2C83CEE6">
            <w:pPr>
              <w:jc w:val="center"/>
            </w:pPr>
            <w:r>
              <w:rPr>
                <w:rFonts w:ascii="Times New Roman" w:hAnsi="Times New Roman" w:eastAsia="微软雅黑"/>
                <w:b/>
                <w:i w:val="0"/>
                <w:sz w:val="20"/>
              </w:rPr>
              <w:t>预计年度总营业收入</w:t>
            </w:r>
          </w:p>
        </w:tc>
        <w:tc>
          <w:tcPr>
            <w:tcW w:w="1384" w:type="dxa"/>
            <w:shd w:val="clear" w:color="auto" w:fill="F2F2F2"/>
            <w:tcMar>
              <w:top w:w="100" w:type="dxa"/>
              <w:left w:w="150" w:type="dxa"/>
              <w:bottom w:w="100" w:type="dxa"/>
              <w:right w:w="150" w:type="dxa"/>
            </w:tcMar>
          </w:tcPr>
          <w:p w14:paraId="45CD2DFC">
            <w:pPr>
              <w:jc w:val="center"/>
            </w:pPr>
            <w:r>
              <w:rPr>
                <w:rFonts w:ascii="Times New Roman" w:hAnsi="Times New Roman" w:eastAsia="微软雅黑"/>
                <w:b/>
                <w:i w:val="0"/>
                <w:sz w:val="20"/>
              </w:rPr>
              <w:t>净利润率 (估算)</w:t>
            </w:r>
          </w:p>
        </w:tc>
      </w:tr>
      <w:tr w14:paraId="4502A61C">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c>
          <w:tcPr>
            <w:tcW w:w="1384" w:type="dxa"/>
            <w:tcMar>
              <w:top w:w="80" w:type="dxa"/>
              <w:left w:w="150" w:type="dxa"/>
              <w:bottom w:w="80" w:type="dxa"/>
              <w:right w:w="150" w:type="dxa"/>
            </w:tcMar>
          </w:tcPr>
          <w:p w14:paraId="19CDEDE0">
            <w:pPr>
              <w:jc w:val="center"/>
            </w:pPr>
            <w:r>
              <w:rPr>
                <w:rFonts w:ascii="Times New Roman" w:hAnsi="Times New Roman" w:eastAsia="宋体"/>
                <w:b w:val="0"/>
                <w:i w:val="0"/>
                <w:sz w:val="19"/>
              </w:rPr>
              <w:t>:---</w:t>
            </w:r>
          </w:p>
        </w:tc>
        <w:tc>
          <w:tcPr>
            <w:tcW w:w="1384" w:type="dxa"/>
            <w:tcMar>
              <w:top w:w="80" w:type="dxa"/>
              <w:left w:w="150" w:type="dxa"/>
              <w:bottom w:w="80" w:type="dxa"/>
              <w:right w:w="150" w:type="dxa"/>
            </w:tcMar>
          </w:tcPr>
          <w:p w14:paraId="4ECCF9A1">
            <w:pPr>
              <w:jc w:val="center"/>
            </w:pPr>
            <w:r>
              <w:rPr>
                <w:rFonts w:ascii="Times New Roman" w:hAnsi="Times New Roman" w:eastAsia="宋体"/>
                <w:b w:val="0"/>
                <w:i w:val="0"/>
                <w:sz w:val="19"/>
              </w:rPr>
              <w:t>:---</w:t>
            </w:r>
          </w:p>
        </w:tc>
        <w:tc>
          <w:tcPr>
            <w:tcW w:w="1384" w:type="dxa"/>
            <w:tcMar>
              <w:top w:w="80" w:type="dxa"/>
              <w:left w:w="150" w:type="dxa"/>
              <w:bottom w:w="80" w:type="dxa"/>
              <w:right w:w="150" w:type="dxa"/>
            </w:tcMar>
            <w:vAlign w:val="center"/>
          </w:tcPr>
          <w:p w14:paraId="14CCD3DC">
            <w:pPr>
              <w:jc w:val="center"/>
            </w:pPr>
            <w:r>
              <w:rPr>
                <w:rFonts w:ascii="Times New Roman" w:hAnsi="Times New Roman" w:eastAsia="宋体"/>
                <w:b w:val="0"/>
                <w:i w:val="0"/>
                <w:sz w:val="19"/>
              </w:rPr>
              <w:t>:---</w:t>
            </w:r>
          </w:p>
        </w:tc>
        <w:tc>
          <w:tcPr>
            <w:tcW w:w="1384" w:type="dxa"/>
            <w:tcMar>
              <w:top w:w="80" w:type="dxa"/>
              <w:left w:w="150" w:type="dxa"/>
              <w:bottom w:w="80" w:type="dxa"/>
              <w:right w:w="150" w:type="dxa"/>
            </w:tcMar>
          </w:tcPr>
          <w:p w14:paraId="0AF76A11">
            <w:pPr>
              <w:jc w:val="center"/>
            </w:pPr>
            <w:r>
              <w:rPr>
                <w:rFonts w:ascii="Times New Roman" w:hAnsi="Times New Roman" w:eastAsia="宋体"/>
                <w:b w:val="0"/>
                <w:i w:val="0"/>
                <w:sz w:val="19"/>
              </w:rPr>
              <w:t>:---</w:t>
            </w:r>
          </w:p>
        </w:tc>
        <w:tc>
          <w:tcPr>
            <w:tcW w:w="1384" w:type="dxa"/>
            <w:tcMar>
              <w:top w:w="80" w:type="dxa"/>
              <w:left w:w="150" w:type="dxa"/>
              <w:bottom w:w="80" w:type="dxa"/>
              <w:right w:w="150" w:type="dxa"/>
            </w:tcMar>
          </w:tcPr>
          <w:p w14:paraId="587DC5E5">
            <w:pPr>
              <w:jc w:val="center"/>
            </w:pPr>
            <w:r>
              <w:rPr>
                <w:rFonts w:ascii="Times New Roman" w:hAnsi="Times New Roman" w:eastAsia="宋体"/>
                <w:b w:val="0"/>
                <w:i w:val="0"/>
                <w:sz w:val="19"/>
              </w:rPr>
              <w:t>:---</w:t>
            </w:r>
          </w:p>
        </w:tc>
        <w:tc>
          <w:tcPr>
            <w:tcW w:w="1384" w:type="dxa"/>
            <w:tcMar>
              <w:top w:w="80" w:type="dxa"/>
              <w:left w:w="150" w:type="dxa"/>
              <w:bottom w:w="80" w:type="dxa"/>
              <w:right w:w="150" w:type="dxa"/>
            </w:tcMar>
          </w:tcPr>
          <w:p w14:paraId="4AAB0165">
            <w:pPr>
              <w:jc w:val="center"/>
            </w:pPr>
            <w:r>
              <w:rPr>
                <w:rFonts w:ascii="Times New Roman" w:hAnsi="Times New Roman" w:eastAsia="宋体"/>
                <w:b w:val="0"/>
                <w:i w:val="0"/>
                <w:sz w:val="19"/>
              </w:rPr>
              <w:t>:---</w:t>
            </w:r>
          </w:p>
        </w:tc>
      </w:tr>
      <w:tr w14:paraId="78EB3E1D">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c>
          <w:tcPr>
            <w:tcW w:w="1384" w:type="dxa"/>
            <w:tcMar>
              <w:top w:w="80" w:type="dxa"/>
              <w:left w:w="150" w:type="dxa"/>
              <w:bottom w:w="80" w:type="dxa"/>
              <w:right w:w="150" w:type="dxa"/>
            </w:tcMar>
          </w:tcPr>
          <w:p w14:paraId="08D19777">
            <w:pPr>
              <w:spacing w:line="240" w:lineRule="auto"/>
              <w:jc w:val="center"/>
            </w:pPr>
            <w:r>
              <w:rPr>
                <w:rFonts w:ascii="Times New Roman" w:hAnsi="Times New Roman" w:eastAsia="宋体"/>
                <w:b w:val="0"/>
                <w:i w:val="0"/>
                <w:sz w:val="19"/>
              </w:rPr>
              <w:t>1 - 12</w:t>
            </w:r>
          </w:p>
        </w:tc>
        <w:tc>
          <w:tcPr>
            <w:tcW w:w="1384" w:type="dxa"/>
            <w:tcMar>
              <w:top w:w="80" w:type="dxa"/>
              <w:left w:w="150" w:type="dxa"/>
              <w:bottom w:w="80" w:type="dxa"/>
              <w:right w:w="150" w:type="dxa"/>
            </w:tcMar>
          </w:tcPr>
          <w:p w14:paraId="2DDAA9D2">
            <w:pPr>
              <w:jc w:val="center"/>
            </w:pPr>
            <w:r>
              <w:rPr>
                <w:rFonts w:ascii="Times New Roman" w:hAnsi="Times New Roman" w:eastAsia="宋体"/>
                <w:b w:val="0"/>
                <w:i w:val="0"/>
                <w:sz w:val="19"/>
              </w:rPr>
              <w:t>100,000 人</w:t>
            </w:r>
          </w:p>
        </w:tc>
        <w:tc>
          <w:tcPr>
            <w:tcW w:w="1384" w:type="dxa"/>
            <w:tcMar>
              <w:top w:w="80" w:type="dxa"/>
              <w:left w:w="150" w:type="dxa"/>
              <w:bottom w:w="80" w:type="dxa"/>
              <w:right w:w="150" w:type="dxa"/>
            </w:tcMar>
          </w:tcPr>
          <w:p w14:paraId="7208ECF2">
            <w:pPr>
              <w:jc w:val="center"/>
            </w:pPr>
            <w:r>
              <w:rPr>
                <w:rFonts w:ascii="Times New Roman" w:hAnsi="Times New Roman" w:eastAsia="宋体"/>
                <w:b w:val="0"/>
                <w:i w:val="0"/>
                <w:sz w:val="19"/>
              </w:rPr>
              <w:t>3 所</w:t>
            </w:r>
          </w:p>
        </w:tc>
        <w:tc>
          <w:tcPr>
            <w:tcW w:w="1384" w:type="dxa"/>
            <w:tcMar>
              <w:top w:w="80" w:type="dxa"/>
              <w:left w:w="150" w:type="dxa"/>
              <w:bottom w:w="80" w:type="dxa"/>
              <w:right w:w="150" w:type="dxa"/>
            </w:tcMar>
          </w:tcPr>
          <w:p w14:paraId="1D0DE4B1">
            <w:pPr>
              <w:jc w:val="center"/>
            </w:pPr>
            <w:r>
              <w:rPr>
                <w:rFonts w:ascii="Times New Roman" w:hAnsi="Times New Roman" w:eastAsia="宋体"/>
                <w:b w:val="0"/>
                <w:i w:val="0"/>
                <w:sz w:val="19"/>
              </w:rPr>
              <w:t>10 个</w:t>
            </w:r>
          </w:p>
        </w:tc>
        <w:tc>
          <w:tcPr>
            <w:tcW w:w="1384" w:type="dxa"/>
            <w:tcMar>
              <w:top w:w="80" w:type="dxa"/>
              <w:left w:w="150" w:type="dxa"/>
              <w:bottom w:w="80" w:type="dxa"/>
              <w:right w:w="150" w:type="dxa"/>
            </w:tcMar>
          </w:tcPr>
          <w:p w14:paraId="09144FC1">
            <w:pPr>
              <w:jc w:val="center"/>
            </w:pPr>
            <w:r>
              <w:rPr>
                <w:rFonts w:ascii="Times New Roman" w:hAnsi="Times New Roman" w:eastAsia="宋体"/>
                <w:b/>
                <w:bCs/>
                <w:i w:val="0"/>
                <w:sz w:val="19"/>
              </w:rPr>
              <w:t>85 万元</w:t>
            </w:r>
          </w:p>
        </w:tc>
        <w:tc>
          <w:tcPr>
            <w:tcW w:w="1384" w:type="dxa"/>
            <w:tcMar>
              <w:top w:w="80" w:type="dxa"/>
              <w:left w:w="150" w:type="dxa"/>
              <w:bottom w:w="80" w:type="dxa"/>
              <w:right w:w="150" w:type="dxa"/>
            </w:tcMar>
          </w:tcPr>
          <w:p w14:paraId="069E5991">
            <w:pPr>
              <w:jc w:val="center"/>
            </w:pPr>
            <w:r>
              <w:rPr>
                <w:rFonts w:ascii="Times New Roman" w:hAnsi="Times New Roman" w:eastAsia="宋体"/>
                <w:b w:val="0"/>
                <w:i w:val="0"/>
                <w:sz w:val="19"/>
              </w:rPr>
              <w:t>-15% (前期投入阶段)</w:t>
            </w:r>
          </w:p>
        </w:tc>
      </w:tr>
      <w:tr w14:paraId="5CC7731C">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c>
          <w:tcPr>
            <w:tcW w:w="1384" w:type="dxa"/>
            <w:tcMar>
              <w:top w:w="80" w:type="dxa"/>
              <w:left w:w="150" w:type="dxa"/>
              <w:bottom w:w="80" w:type="dxa"/>
              <w:right w:w="150" w:type="dxa"/>
            </w:tcMar>
          </w:tcPr>
          <w:p w14:paraId="33C4E99B">
            <w:pPr>
              <w:jc w:val="center"/>
            </w:pPr>
            <w:r>
              <w:rPr>
                <w:rFonts w:ascii="Times New Roman" w:hAnsi="Times New Roman" w:eastAsia="宋体"/>
                <w:b w:val="0"/>
                <w:i w:val="0"/>
                <w:sz w:val="19"/>
              </w:rPr>
              <w:t>13 - 24</w:t>
            </w:r>
          </w:p>
        </w:tc>
        <w:tc>
          <w:tcPr>
            <w:tcW w:w="1384" w:type="dxa"/>
            <w:tcMar>
              <w:top w:w="80" w:type="dxa"/>
              <w:left w:w="150" w:type="dxa"/>
              <w:bottom w:w="80" w:type="dxa"/>
              <w:right w:w="150" w:type="dxa"/>
            </w:tcMar>
          </w:tcPr>
          <w:p w14:paraId="294453FF">
            <w:pPr>
              <w:jc w:val="center"/>
            </w:pPr>
            <w:r>
              <w:rPr>
                <w:rFonts w:ascii="Times New Roman" w:hAnsi="Times New Roman" w:eastAsia="宋体"/>
                <w:b w:val="0"/>
                <w:i w:val="0"/>
                <w:sz w:val="19"/>
              </w:rPr>
              <w:t>800,000 人</w:t>
            </w:r>
          </w:p>
        </w:tc>
        <w:tc>
          <w:tcPr>
            <w:tcW w:w="1384" w:type="dxa"/>
            <w:tcMar>
              <w:top w:w="80" w:type="dxa"/>
              <w:left w:w="150" w:type="dxa"/>
              <w:bottom w:w="80" w:type="dxa"/>
              <w:right w:w="150" w:type="dxa"/>
            </w:tcMar>
          </w:tcPr>
          <w:p w14:paraId="0D117F01">
            <w:pPr>
              <w:jc w:val="center"/>
            </w:pPr>
            <w:r>
              <w:rPr>
                <w:rFonts w:ascii="Times New Roman" w:hAnsi="Times New Roman" w:eastAsia="宋体"/>
                <w:b w:val="0"/>
                <w:i w:val="0"/>
                <w:sz w:val="19"/>
              </w:rPr>
              <w:t>35 所</w:t>
            </w:r>
          </w:p>
        </w:tc>
        <w:tc>
          <w:tcPr>
            <w:tcW w:w="1384" w:type="dxa"/>
            <w:tcMar>
              <w:top w:w="80" w:type="dxa"/>
              <w:left w:w="150" w:type="dxa"/>
              <w:bottom w:w="80" w:type="dxa"/>
              <w:right w:w="150" w:type="dxa"/>
            </w:tcMar>
          </w:tcPr>
          <w:p w14:paraId="4658B018">
            <w:pPr>
              <w:jc w:val="center"/>
            </w:pPr>
            <w:r>
              <w:rPr>
                <w:rFonts w:ascii="Times New Roman" w:hAnsi="Times New Roman" w:eastAsia="宋体"/>
                <w:b w:val="0"/>
                <w:i w:val="0"/>
                <w:sz w:val="19"/>
              </w:rPr>
              <w:t>60 个</w:t>
            </w:r>
          </w:p>
        </w:tc>
        <w:tc>
          <w:tcPr>
            <w:tcW w:w="1384" w:type="dxa"/>
            <w:tcMar>
              <w:top w:w="80" w:type="dxa"/>
              <w:left w:w="150" w:type="dxa"/>
              <w:bottom w:w="80" w:type="dxa"/>
              <w:right w:w="150" w:type="dxa"/>
            </w:tcMar>
          </w:tcPr>
          <w:p w14:paraId="3A7699EF">
            <w:pPr>
              <w:jc w:val="center"/>
            </w:pPr>
            <w:r>
              <w:rPr>
                <w:rFonts w:ascii="Times New Roman" w:hAnsi="Times New Roman" w:eastAsia="宋体"/>
                <w:b/>
                <w:bCs/>
                <w:i w:val="0"/>
                <w:sz w:val="19"/>
              </w:rPr>
              <w:t>820 万元</w:t>
            </w:r>
          </w:p>
        </w:tc>
        <w:tc>
          <w:tcPr>
            <w:tcW w:w="1384" w:type="dxa"/>
            <w:tcMar>
              <w:top w:w="80" w:type="dxa"/>
              <w:left w:w="150" w:type="dxa"/>
              <w:bottom w:w="80" w:type="dxa"/>
              <w:right w:w="150" w:type="dxa"/>
            </w:tcMar>
          </w:tcPr>
          <w:p w14:paraId="5189C01A">
            <w:pPr>
              <w:jc w:val="center"/>
            </w:pPr>
            <w:r>
              <w:rPr>
                <w:rFonts w:ascii="Times New Roman" w:hAnsi="Times New Roman" w:eastAsia="宋体"/>
                <w:b w:val="0"/>
                <w:i w:val="0"/>
                <w:sz w:val="19"/>
              </w:rPr>
              <w:t>+12% (盈亏平衡并盈利)</w:t>
            </w:r>
          </w:p>
        </w:tc>
      </w:tr>
      <w:tr w14:paraId="2F3BADD4">
        <w:tblPrEx>
          <w:tblBorders>
            <w:top w:val="single" w:color="CCCCCC" w:sz="4" w:space="0"/>
            <w:left w:val="none" w:color="auto" w:sz="0" w:space="0"/>
            <w:bottom w:val="single" w:color="888888" w:sz="6" w:space="0"/>
            <w:right w:val="none" w:color="auto" w:sz="0" w:space="0"/>
            <w:insideH w:val="single" w:color="EAEAEA" w:sz="4" w:space="0"/>
            <w:insideV w:val="none" w:color="auto" w:sz="0" w:space="0"/>
          </w:tblBorders>
          <w:tblCellMar>
            <w:top w:w="0" w:type="dxa"/>
            <w:left w:w="108" w:type="dxa"/>
            <w:bottom w:w="0" w:type="dxa"/>
            <w:right w:w="108" w:type="dxa"/>
          </w:tblCellMar>
        </w:tblPrEx>
        <w:tc>
          <w:tcPr>
            <w:tcW w:w="1384" w:type="dxa"/>
            <w:tcMar>
              <w:top w:w="80" w:type="dxa"/>
              <w:left w:w="150" w:type="dxa"/>
              <w:bottom w:w="80" w:type="dxa"/>
              <w:right w:w="150" w:type="dxa"/>
            </w:tcMar>
          </w:tcPr>
          <w:p w14:paraId="325FE5EE">
            <w:pPr>
              <w:jc w:val="center"/>
            </w:pPr>
            <w:r>
              <w:rPr>
                <w:rFonts w:ascii="Times New Roman" w:hAnsi="Times New Roman" w:eastAsia="宋体"/>
                <w:b w:val="0"/>
                <w:i w:val="0"/>
                <w:sz w:val="19"/>
              </w:rPr>
              <w:t>25 - 36</w:t>
            </w:r>
          </w:p>
        </w:tc>
        <w:tc>
          <w:tcPr>
            <w:tcW w:w="1384" w:type="dxa"/>
            <w:tcMar>
              <w:top w:w="80" w:type="dxa"/>
              <w:left w:w="150" w:type="dxa"/>
              <w:bottom w:w="80" w:type="dxa"/>
              <w:right w:w="150" w:type="dxa"/>
            </w:tcMar>
          </w:tcPr>
          <w:p w14:paraId="4E6E0772">
            <w:pPr>
              <w:jc w:val="center"/>
            </w:pPr>
            <w:r>
              <w:rPr>
                <w:rFonts w:ascii="Times New Roman" w:hAnsi="Times New Roman" w:eastAsia="宋体"/>
                <w:b w:val="0"/>
                <w:i w:val="0"/>
                <w:sz w:val="19"/>
              </w:rPr>
              <w:t>5,000,000 人</w:t>
            </w:r>
          </w:p>
        </w:tc>
        <w:tc>
          <w:tcPr>
            <w:tcW w:w="1384" w:type="dxa"/>
            <w:tcMar>
              <w:top w:w="80" w:type="dxa"/>
              <w:left w:w="150" w:type="dxa"/>
              <w:bottom w:w="80" w:type="dxa"/>
              <w:right w:w="150" w:type="dxa"/>
            </w:tcMar>
          </w:tcPr>
          <w:p w14:paraId="3002AECA">
            <w:pPr>
              <w:jc w:val="center"/>
            </w:pPr>
            <w:r>
              <w:rPr>
                <w:rFonts w:ascii="Times New Roman" w:hAnsi="Times New Roman" w:eastAsia="宋体"/>
                <w:b w:val="0"/>
                <w:i w:val="0"/>
                <w:sz w:val="19"/>
              </w:rPr>
              <w:t>120 所</w:t>
            </w:r>
          </w:p>
        </w:tc>
        <w:tc>
          <w:tcPr>
            <w:tcW w:w="1384" w:type="dxa"/>
            <w:tcMar>
              <w:top w:w="80" w:type="dxa"/>
              <w:left w:w="150" w:type="dxa"/>
              <w:bottom w:w="80" w:type="dxa"/>
              <w:right w:w="150" w:type="dxa"/>
            </w:tcMar>
          </w:tcPr>
          <w:p w14:paraId="0429364A">
            <w:pPr>
              <w:jc w:val="center"/>
            </w:pPr>
            <w:r>
              <w:rPr>
                <w:rFonts w:ascii="Times New Roman" w:hAnsi="Times New Roman" w:eastAsia="宋体"/>
                <w:b w:val="0"/>
                <w:i w:val="0"/>
                <w:sz w:val="19"/>
              </w:rPr>
              <w:t>350 个</w:t>
            </w:r>
          </w:p>
        </w:tc>
        <w:tc>
          <w:tcPr>
            <w:tcW w:w="1384" w:type="dxa"/>
            <w:tcMar>
              <w:top w:w="80" w:type="dxa"/>
              <w:left w:w="150" w:type="dxa"/>
              <w:bottom w:w="80" w:type="dxa"/>
              <w:right w:w="150" w:type="dxa"/>
            </w:tcMar>
          </w:tcPr>
          <w:p w14:paraId="62048E9E">
            <w:pPr>
              <w:jc w:val="center"/>
            </w:pPr>
            <w:r>
              <w:rPr>
                <w:rFonts w:ascii="Times New Roman" w:hAnsi="Times New Roman" w:eastAsia="宋体"/>
                <w:b/>
                <w:bCs/>
                <w:i w:val="0"/>
                <w:sz w:val="19"/>
              </w:rPr>
              <w:t>2640 万元</w:t>
            </w:r>
          </w:p>
        </w:tc>
        <w:tc>
          <w:tcPr>
            <w:tcW w:w="1384" w:type="dxa"/>
            <w:tcMar>
              <w:top w:w="80" w:type="dxa"/>
              <w:left w:w="150" w:type="dxa"/>
              <w:bottom w:w="80" w:type="dxa"/>
              <w:right w:w="150" w:type="dxa"/>
            </w:tcMar>
          </w:tcPr>
          <w:p w14:paraId="13F9AD92">
            <w:pPr>
              <w:jc w:val="center"/>
            </w:pPr>
            <w:r>
              <w:rPr>
                <w:rFonts w:ascii="Times New Roman" w:hAnsi="Times New Roman" w:eastAsia="宋体"/>
                <w:b w:val="0"/>
                <w:i w:val="0"/>
                <w:sz w:val="19"/>
              </w:rPr>
              <w:t>+36% (进入稳定成长期)</w:t>
            </w:r>
          </w:p>
        </w:tc>
      </w:tr>
    </w:tbl>
    <w:p w14:paraId="2440022D">
      <w:pPr>
        <w:pStyle w:val="5"/>
        <w:bidi w:val="0"/>
      </w:pPr>
    </w:p>
    <w:p w14:paraId="4FBF8BC4">
      <w:pPr>
        <w:pStyle w:val="5"/>
        <w:bidi w:val="0"/>
      </w:pPr>
    </w:p>
    <w:p w14:paraId="68645068">
      <w:pPr>
        <w:pStyle w:val="5"/>
        <w:bidi w:val="0"/>
      </w:pPr>
      <w:r>
        <w:t>8.3 发展里程碑与融资用途</w:t>
      </w:r>
    </w:p>
    <w:p w14:paraId="628F18BF">
      <w:pPr>
        <w:spacing w:before="40" w:after="120" w:line="300" w:lineRule="auto"/>
      </w:pPr>
      <w:r>
        <w:rPr>
          <w:rFonts w:ascii="Times New Roman" w:hAnsi="Times New Roman" w:eastAsia="宋体"/>
          <w:b w:val="0"/>
          <w:i w:val="0"/>
          <w:sz w:val="21"/>
        </w:rPr>
        <w:t>项目计划进行首轮天使期融资，融资金额预计在 150万 - 200万元之间。资金具体用途规划如下：</w:t>
      </w:r>
    </w:p>
    <w:p w14:paraId="355CE64B">
      <w:pPr>
        <w:pBdr>
          <w:left w:val="single" w:color="5B9BD5" w:sz="18" w:space="6"/>
        </w:pBdr>
        <w:shd w:val="clear" w:fill="F8F9FA"/>
        <w:spacing w:before="80" w:after="80"/>
        <w:ind w:left="432" w:right="432"/>
      </w:pPr>
      <w:r>
        <w:rPr>
          <w:rFonts w:ascii="Consolas" w:hAnsi="Consolas" w:eastAsia="Consolas"/>
          <w:b w:val="0"/>
          <w:i w:val="0"/>
          <w:sz w:val="19"/>
        </w:rPr>
        <w:t xml:space="preserve">                    ┌────────────────────────┐</w:t>
      </w:r>
      <w:r>
        <w:rPr>
          <w:rFonts w:ascii="Consolas" w:hAnsi="Consolas" w:eastAsia="Consolas"/>
          <w:b w:val="0"/>
          <w:i w:val="0"/>
          <w:sz w:val="19"/>
        </w:rPr>
        <w:br w:type="textWrapping"/>
      </w:r>
      <w:r>
        <w:rPr>
          <w:rFonts w:ascii="Consolas" w:hAnsi="Consolas" w:eastAsia="Consolas"/>
          <w:b w:val="0"/>
          <w:i w:val="0"/>
          <w:sz w:val="19"/>
        </w:rPr>
        <w:t xml:space="preserve">                    │  融资金额: 150 - 200万  │</w:t>
      </w:r>
      <w:r>
        <w:rPr>
          <w:rFonts w:ascii="Consolas" w:hAnsi="Consolas" w:eastAsia="Consolas"/>
          <w:b w:val="0"/>
          <w:i w:val="0"/>
          <w:sz w:val="19"/>
        </w:rPr>
        <w:br w:type="textWrapping"/>
      </w:r>
      <w:r>
        <w:rPr>
          <w:rFonts w:ascii="Consolas" w:hAnsi="Consolas" w:eastAsia="Consolas"/>
          <w:b w:val="0"/>
          <w:i w:val="0"/>
          <w:sz w:val="19"/>
        </w:rPr>
        <w:t xml:space="preserve">                    └───────────┬────────────┘</w:t>
      </w:r>
      <w:r>
        <w:rPr>
          <w:rFonts w:ascii="Consolas" w:hAnsi="Consolas" w:eastAsia="Consolas"/>
          <w:b w:val="0"/>
          <w:i w:val="0"/>
          <w:sz w:val="19"/>
        </w:rPr>
        <w:br w:type="textWrapping"/>
      </w:r>
      <w:r>
        <w:rPr>
          <w:rFonts w:ascii="Consolas" w:hAnsi="Consolas" w:eastAsia="Consolas"/>
          <w:b w:val="0"/>
          <w:i w:val="0"/>
          <w:sz w:val="19"/>
        </w:rPr>
        <w:t xml:space="preserve">         ┌──────────────────────┼──────────────────────┐</w:t>
      </w:r>
      <w:r>
        <w:rPr>
          <w:rFonts w:ascii="Consolas" w:hAnsi="Consolas" w:eastAsia="Consolas"/>
          <w:b w:val="0"/>
          <w:i w:val="0"/>
          <w:sz w:val="19"/>
        </w:rPr>
        <w:br w:type="textWrapping"/>
      </w:r>
      <w:r>
        <w:rPr>
          <w:rFonts w:ascii="Consolas" w:hAnsi="Consolas" w:eastAsia="Consolas"/>
          <w:b w:val="0"/>
          <w:i w:val="0"/>
          <w:sz w:val="19"/>
        </w:rPr>
        <w:t xml:space="preserve">         ▼                      ▼                      ▼</w:t>
      </w:r>
      <w:r>
        <w:rPr>
          <w:rFonts w:ascii="Consolas" w:hAnsi="Consolas" w:eastAsia="Consolas"/>
          <w:b w:val="0"/>
          <w:i w:val="0"/>
          <w:sz w:val="19"/>
        </w:rPr>
        <w:br w:type="textWrapping"/>
      </w:r>
      <w:r>
        <w:rPr>
          <w:rFonts w:ascii="Consolas" w:hAnsi="Consolas" w:eastAsia="Consolas"/>
          <w:b w:val="0"/>
          <w:i w:val="0"/>
          <w:sz w:val="19"/>
        </w:rPr>
        <w:t xml:space="preserve"> ┌───────────────┐      ┌───────────────┐      ┌───────────────┐</w:t>
      </w:r>
      <w:r>
        <w:rPr>
          <w:rFonts w:ascii="Consolas" w:hAnsi="Consolas" w:eastAsia="Consolas"/>
          <w:b w:val="0"/>
          <w:i w:val="0"/>
          <w:sz w:val="19"/>
        </w:rPr>
        <w:br w:type="textWrapping"/>
      </w:r>
      <w:r>
        <w:rPr>
          <w:rFonts w:ascii="Consolas" w:hAnsi="Consolas" w:eastAsia="Consolas"/>
          <w:b w:val="0"/>
          <w:i w:val="0"/>
          <w:sz w:val="19"/>
        </w:rPr>
        <w:t xml:space="preserve"> │ 云算力与微调费 │      │ 研发与团队开支 │      │ 高校与社区地推 │</w:t>
      </w:r>
      <w:r>
        <w:rPr>
          <w:rFonts w:ascii="Consolas" w:hAnsi="Consolas" w:eastAsia="Consolas"/>
          <w:b w:val="0"/>
          <w:i w:val="0"/>
          <w:sz w:val="19"/>
        </w:rPr>
        <w:br w:type="textWrapping"/>
      </w:r>
      <w:r>
        <w:rPr>
          <w:rFonts w:ascii="Consolas" w:hAnsi="Consolas" w:eastAsia="Consolas"/>
          <w:b w:val="0"/>
          <w:i w:val="0"/>
          <w:sz w:val="19"/>
        </w:rPr>
        <w:t xml:space="preserve"> ├───────────────┤      ├───────────────┤      ├───────────────┤</w:t>
      </w:r>
      <w:r>
        <w:rPr>
          <w:rFonts w:ascii="Consolas" w:hAnsi="Consolas" w:eastAsia="Consolas"/>
          <w:b w:val="0"/>
          <w:i w:val="0"/>
          <w:sz w:val="19"/>
        </w:rPr>
        <w:br w:type="textWrapping"/>
      </w:r>
      <w:r>
        <w:rPr>
          <w:rFonts w:ascii="Consolas" w:hAnsi="Consolas" w:eastAsia="Consolas"/>
          <w:b w:val="0"/>
          <w:i w:val="0"/>
          <w:sz w:val="19"/>
        </w:rPr>
        <w:t xml:space="preserve"> │ 占 40% (80万)  │      │ 占 35% (70万)  │      │ 占 25% (50万)  │</w:t>
      </w:r>
      <w:r>
        <w:rPr>
          <w:rFonts w:ascii="Consolas" w:hAnsi="Consolas" w:eastAsia="Consolas"/>
          <w:b w:val="0"/>
          <w:i w:val="0"/>
          <w:sz w:val="19"/>
        </w:rPr>
        <w:br w:type="textWrapping"/>
      </w:r>
      <w:r>
        <w:rPr>
          <w:rFonts w:ascii="Consolas" w:hAnsi="Consolas" w:eastAsia="Consolas"/>
          <w:b w:val="0"/>
          <w:i w:val="0"/>
          <w:sz w:val="19"/>
        </w:rPr>
        <w:t xml:space="preserve"> │ 用于Qwen DPO  │      │ 适配器与Dio网络│      │ 签订第一批示范 │</w:t>
      </w:r>
      <w:r>
        <w:rPr>
          <w:rFonts w:ascii="Consolas" w:hAnsi="Consolas" w:eastAsia="Consolas"/>
          <w:b w:val="0"/>
          <w:i w:val="0"/>
          <w:sz w:val="19"/>
        </w:rPr>
        <w:br w:type="textWrapping"/>
      </w:r>
      <w:r>
        <w:rPr>
          <w:rFonts w:ascii="Consolas" w:hAnsi="Consolas" w:eastAsia="Consolas"/>
          <w:b w:val="0"/>
          <w:i w:val="0"/>
          <w:sz w:val="19"/>
        </w:rPr>
        <w:t xml:space="preserve"> │ 数据集及GPU算力│      │ 前后端研发扩充 │      │ 点，获取背书  │</w:t>
      </w:r>
      <w:r>
        <w:rPr>
          <w:rFonts w:ascii="Consolas" w:hAnsi="Consolas" w:eastAsia="Consolas"/>
          <w:b w:val="0"/>
          <w:i w:val="0"/>
          <w:sz w:val="19"/>
        </w:rPr>
        <w:br w:type="textWrapping"/>
      </w:r>
      <w:r>
        <w:rPr>
          <w:rFonts w:ascii="Consolas" w:hAnsi="Consolas" w:eastAsia="Consolas"/>
          <w:b w:val="0"/>
          <w:i w:val="0"/>
          <w:sz w:val="19"/>
        </w:rPr>
        <w:t xml:space="preserve"> └───────────────┘      └───────────────┘      └───────────────┘</w:t>
      </w:r>
    </w:p>
    <w:p w14:paraId="55DB0BB6">
      <w:r>
        <w:br w:type="page"/>
      </w:r>
    </w:p>
    <w:p w14:paraId="1EC5977B">
      <w:pPr>
        <w:keepNext/>
        <w:spacing w:before="240" w:after="120"/>
      </w:pPr>
      <w:r>
        <w:rPr>
          <w:rFonts w:ascii="Times New Roman" w:hAnsi="Times New Roman" w:eastAsia="微软雅黑"/>
          <w:b/>
          <w:i w:val="0"/>
          <w:sz w:val="24"/>
        </w:rPr>
        <w:t>参考文献</w:t>
      </w:r>
    </w:p>
    <w:p w14:paraId="1DBF52BF">
      <w:pPr>
        <w:spacing w:before="40" w:after="120" w:line="300" w:lineRule="auto"/>
      </w:pPr>
      <w:r>
        <w:rPr>
          <w:rFonts w:ascii="Times New Roman" w:hAnsi="Times New Roman" w:eastAsia="宋体"/>
          <w:b w:val="0"/>
          <w:i w:val="0"/>
          <w:sz w:val="21"/>
        </w:rPr>
        <w:t>[1] 中华人民共和国国家体育总局, 国家卫生健康委员会, 等. 关于推动运动促进健康事业高质量发展的指导意见[R]. 京体群字〔2025〕48号, 2025-09.</w:t>
      </w:r>
    </w:p>
    <w:p w14:paraId="78BE5447">
      <w:pPr>
        <w:spacing w:before="40" w:after="120" w:line="300" w:lineRule="auto"/>
      </w:pPr>
      <w:r>
        <w:rPr>
          <w:rFonts w:ascii="Times New Roman" w:hAnsi="Times New Roman" w:eastAsia="宋体"/>
          <w:b w:val="0"/>
          <w:i w:val="0"/>
          <w:sz w:val="21"/>
        </w:rPr>
        <w:t>[2] 中共中央, 国务院. “健康中国2030”规划纲要[R]. 中发〔2016〕32号, 2016-10.</w:t>
      </w:r>
    </w:p>
    <w:p w14:paraId="7146D4F3">
      <w:pPr>
        <w:spacing w:before="40" w:after="120" w:line="300" w:lineRule="auto"/>
      </w:pPr>
      <w:r>
        <w:rPr>
          <w:rFonts w:ascii="Times New Roman" w:hAnsi="Times New Roman" w:eastAsia="宋体"/>
          <w:b w:val="0"/>
          <w:i w:val="0"/>
          <w:sz w:val="21"/>
        </w:rPr>
        <w:t>[3] 中华人民共和国国务院. 全民健身计划（2021—2025年）[R]. 国发〔2021〕11号, 2021-08.</w:t>
      </w:r>
    </w:p>
    <w:p w14:paraId="472612E7">
      <w:pPr>
        <w:spacing w:before="40" w:after="120" w:line="300" w:lineRule="auto"/>
      </w:pPr>
      <w:r>
        <w:rPr>
          <w:rFonts w:ascii="Times New Roman" w:hAnsi="Times New Roman" w:eastAsia="宋体"/>
          <w:b w:val="0"/>
          <w:i w:val="0"/>
          <w:sz w:val="21"/>
        </w:rPr>
        <w:t>[4] 中华人民共和国国务院办公厅. “十四五”国民健康规划[R]. 国办发〔2022〕14号, 2022-05.</w:t>
      </w:r>
    </w:p>
    <w:p w14:paraId="068BA47A">
      <w:pPr>
        <w:spacing w:before="40" w:after="120" w:line="300" w:lineRule="auto"/>
      </w:pPr>
      <w:r>
        <w:rPr>
          <w:rFonts w:ascii="Times New Roman" w:hAnsi="Times New Roman" w:eastAsia="宋体"/>
          <w:b w:val="0"/>
          <w:i w:val="0"/>
          <w:sz w:val="21"/>
        </w:rPr>
        <w:t>[5] 中国运动医学学会, 中国老年学和老年医学学会运动健康分会. 临床运动处方实践专家共识（2025）[J]. 中国运动医学杂志, 2025, 44(05): 321-334.</w:t>
      </w:r>
    </w:p>
    <w:p w14:paraId="7B2B50DA">
      <w:pPr>
        <w:spacing w:before="40" w:after="120" w:line="300" w:lineRule="auto"/>
      </w:pPr>
      <w:r>
        <w:rPr>
          <w:rFonts w:ascii="Times New Roman" w:hAnsi="Times New Roman" w:eastAsia="宋体"/>
          <w:b w:val="0"/>
          <w:i w:val="0"/>
          <w:sz w:val="21"/>
        </w:rPr>
        <w:t>[6] 艾瑞咨询. 2024中国AI智能健身行业白皮书[R]. 上海: 艾瑞市场咨询股份有限公司, 2024-08.</w:t>
      </w:r>
    </w:p>
    <w:p w14:paraId="66EB3930">
      <w:pPr>
        <w:spacing w:before="40" w:after="120" w:line="300" w:lineRule="auto"/>
      </w:pPr>
      <w:r>
        <w:rPr>
          <w:rFonts w:ascii="Times New Roman" w:hAnsi="Times New Roman" w:eastAsia="宋体"/>
          <w:b w:val="0"/>
          <w:i w:val="0"/>
          <w:sz w:val="21"/>
        </w:rPr>
        <w:t>[7] IDC. 2026Q1中国智能穿戴健康市场分析报告[R]. 北京: 国际数据公司, 2026-04.</w:t>
      </w:r>
    </w:p>
    <w:p w14:paraId="36F994D4">
      <w:pPr>
        <w:spacing w:before="40" w:after="120" w:line="300" w:lineRule="auto"/>
      </w:pPr>
      <w:r>
        <w:rPr>
          <w:rFonts w:ascii="Times New Roman" w:hAnsi="Times New Roman" w:eastAsia="宋体"/>
          <w:b w:val="0"/>
          <w:i w:val="0"/>
          <w:sz w:val="21"/>
        </w:rPr>
        <w:t>[8] 国家体育总局. 第六次全国国民体质监测公报[R]. 北京: 国家体育总局政府信息公开中心, 2026-03.</w:t>
      </w:r>
    </w:p>
    <w:p w14:paraId="0793F786">
      <w:pPr>
        <w:spacing w:before="40" w:after="120" w:line="300" w:lineRule="auto"/>
      </w:pPr>
      <w:r>
        <w:rPr>
          <w:rFonts w:ascii="Times New Roman" w:hAnsi="Times New Roman" w:eastAsia="宋体"/>
          <w:b w:val="0"/>
          <w:i w:val="0"/>
          <w:sz w:val="21"/>
        </w:rPr>
        <w:t>[9] 国家体育总局. 2025全民健身活动状况调查公报[R]. 北京: 国家体育总局群体司, 2025-12.</w:t>
      </w:r>
    </w:p>
    <w:p w14:paraId="61D3A8FE">
      <w:pPr>
        <w:spacing w:before="40" w:after="120" w:line="300" w:lineRule="auto"/>
      </w:pPr>
      <w:r>
        <w:rPr>
          <w:rFonts w:ascii="Times New Roman" w:hAnsi="Times New Roman" w:eastAsia="宋体"/>
          <w:b w:val="0"/>
          <w:i w:val="0"/>
          <w:sz w:val="21"/>
        </w:rPr>
        <w:t>[10] 艾瑞咨询. 2025中国AI陪伴与情感交互行业趋势报告[R]. 上海: 艾瑞市场咨询股份有限公司, 2025-06.</w:t>
      </w:r>
    </w:p>
    <w:sectPr>
      <w:headerReference r:id="rId5" w:type="default"/>
      <w:footerReference r:id="rId6" w:type="default"/>
      <w:pgSz w:w="11906" w:h="16838"/>
      <w:pgMar w:top="1440" w:right="1800" w:bottom="1440" w:left="1800" w:header="680" w:footer="680" w:gutter="0"/>
      <w:pgNumType w:chapStyle="6"/>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7909"/>
      <w:docPartObj>
        <w:docPartGallery w:val="autotext"/>
      </w:docPartObj>
    </w:sdtPr>
    <w:sdtContent>
      <w:p w14:paraId="1FE4C859">
        <w:pPr>
          <w:pStyle w:val="7"/>
          <w:jc w:val="center"/>
        </w:pPr>
        <w:r>
          <w:fldChar w:fldCharType="begin"/>
        </w:r>
        <w:r>
          <w:instrText xml:space="preserve">PAGE   \* MERGEFORMAT</w:instrText>
        </w:r>
        <w:r>
          <w:fldChar w:fldCharType="separate"/>
        </w:r>
        <w:r>
          <w:rPr>
            <w:lang w:val="zh-CN"/>
          </w:rPr>
          <w:t>24</w:t>
        </w:r>
        <w:r>
          <w:fldChar w:fldCharType="end"/>
        </w:r>
      </w:p>
    </w:sdtContent>
  </w:sdt>
  <w:p w14:paraId="129F9A2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0795D">
    <w:pPr>
      <w:pStyle w:val="7"/>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3070327"/>
      <w:docPartObj>
        <w:docPartGallery w:val="autotext"/>
      </w:docPartObj>
    </w:sdtPr>
    <w:sdtContent>
      <w:p w14:paraId="51820EE5">
        <w:pPr>
          <w:pStyle w:val="7"/>
          <w:jc w:val="center"/>
        </w:pPr>
        <w:r>
          <w:fldChar w:fldCharType="begin"/>
        </w:r>
        <w:r>
          <w:instrText xml:space="preserve">PAGE   \* MERGEFORMAT</w:instrText>
        </w:r>
        <w:r>
          <w:fldChar w:fldCharType="separate"/>
        </w:r>
        <w:r>
          <w:rPr>
            <w:lang w:val="zh-CN"/>
          </w:rPr>
          <w:t>24</w:t>
        </w:r>
        <w:r>
          <w:fldChar w:fldCharType="end"/>
        </w:r>
      </w:p>
    </w:sdtContent>
  </w:sdt>
  <w:p w14:paraId="122BACE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11BE1">
    <w:pPr>
      <w:pStyle w:val="8"/>
      <w:jc w:val="center"/>
      <w:rPr>
        <w:rFonts w:ascii="楷体" w:hAnsi="楷体" w:eastAsia="楷体"/>
        <w:sz w:val="21"/>
        <w:szCs w:val="21"/>
        <w:u w:val="double"/>
      </w:rPr>
    </w:pPr>
    <w:r>
      <w:rPr>
        <w:rFonts w:hint="eastAsia" w:ascii="楷体" w:hAnsi="楷体" w:eastAsia="楷体"/>
        <w:sz w:val="21"/>
        <w:szCs w:val="21"/>
        <w:u w:val="double"/>
        <w:lang w:val="en-US" w:eastAsia="zh-CN"/>
      </w:rPr>
      <w:t>创新小组</w:t>
    </w:r>
    <w:r>
      <w:rPr>
        <w:rFonts w:hint="eastAsia" w:ascii="楷体" w:hAnsi="楷体" w:eastAsia="楷体"/>
        <w:sz w:val="21"/>
        <w:szCs w:val="21"/>
        <w:u w:val="double"/>
      </w:rPr>
      <w:t>策划书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DBCF14"/>
    <w:multiLevelType w:val="singleLevel"/>
    <w:tmpl w:val="27DBCF1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footnotePr>
  <w:endnotePr>
    <w:numFmt w:val="decimal"/>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EyMWY2ZGYxMjAzOGU0Njc3NGI2M2NkM2YxNmRhNTkifQ=="/>
  </w:docVars>
  <w:rsids>
    <w:rsidRoot w:val="008432CC"/>
    <w:rsid w:val="000A62B4"/>
    <w:rsid w:val="00271197"/>
    <w:rsid w:val="002A2942"/>
    <w:rsid w:val="00471B91"/>
    <w:rsid w:val="0055773C"/>
    <w:rsid w:val="00744196"/>
    <w:rsid w:val="008119D8"/>
    <w:rsid w:val="008432CC"/>
    <w:rsid w:val="00926A06"/>
    <w:rsid w:val="00977601"/>
    <w:rsid w:val="009C738B"/>
    <w:rsid w:val="00A700C0"/>
    <w:rsid w:val="00B06187"/>
    <w:rsid w:val="00CD32CA"/>
    <w:rsid w:val="00DD4776"/>
    <w:rsid w:val="04B213C1"/>
    <w:rsid w:val="0A942D03"/>
    <w:rsid w:val="11635043"/>
    <w:rsid w:val="18372C32"/>
    <w:rsid w:val="23510202"/>
    <w:rsid w:val="23F23130"/>
    <w:rsid w:val="25AC5561"/>
    <w:rsid w:val="25E81F88"/>
    <w:rsid w:val="2BA61D16"/>
    <w:rsid w:val="32222B66"/>
    <w:rsid w:val="365435AA"/>
    <w:rsid w:val="370223E4"/>
    <w:rsid w:val="3F0B574A"/>
    <w:rsid w:val="42CE343D"/>
    <w:rsid w:val="45CF2E79"/>
    <w:rsid w:val="54CE4239"/>
    <w:rsid w:val="5EB01642"/>
    <w:rsid w:val="5FAA6C38"/>
    <w:rsid w:val="5FAE7401"/>
    <w:rsid w:val="66C128BC"/>
    <w:rsid w:val="673F51E4"/>
    <w:rsid w:val="69EC2B5E"/>
    <w:rsid w:val="6F165398"/>
    <w:rsid w:val="79384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left"/>
    </w:pPr>
    <w:rPr>
      <w:rFonts w:ascii="Times New Roman" w:hAnsi="Times New Roman" w:eastAsia="宋体" w:cs="Times New Roman"/>
      <w:kern w:val="2"/>
      <w:sz w:val="19"/>
      <w:szCs w:val="22"/>
      <w:lang w:val="en-US" w:eastAsia="zh-CN" w:bidi="ar-SA"/>
    </w:rPr>
  </w:style>
  <w:style w:type="paragraph" w:styleId="2">
    <w:name w:val="heading 1"/>
    <w:basedOn w:val="1"/>
    <w:next w:val="1"/>
    <w:link w:val="17"/>
    <w:qFormat/>
    <w:uiPriority w:val="0"/>
    <w:pPr>
      <w:keepNext/>
      <w:snapToGrid w:val="0"/>
      <w:spacing w:before="156" w:beforeLines="50" w:after="156" w:afterLines="50" w:line="300" w:lineRule="auto"/>
      <w:jc w:val="center"/>
      <w:outlineLvl w:val="0"/>
    </w:pPr>
    <w:rPr>
      <w:rFonts w:ascii="Times New Roman" w:hAnsi="Times New Roman" w:eastAsia="黑体"/>
      <w:sz w:val="36"/>
      <w:szCs w:val="20"/>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unhideWhenUsed/>
    <w:qFormat/>
    <w:uiPriority w:val="9"/>
    <w:pPr>
      <w:outlineLvl w:val="2"/>
    </w:pPr>
    <w:rPr>
      <w:b/>
      <w:sz w:val="30"/>
    </w:rPr>
  </w:style>
  <w:style w:type="paragraph" w:styleId="5">
    <w:name w:val="heading 4"/>
    <w:basedOn w:val="4"/>
    <w:next w:val="1"/>
    <w:unhideWhenUsed/>
    <w:qFormat/>
    <w:uiPriority w:val="9"/>
    <w:pPr>
      <w:spacing w:before="50" w:beforeLines="50" w:after="50" w:afterLines="50"/>
      <w:outlineLvl w:val="3"/>
    </w:pPr>
    <w:rPr>
      <w:sz w:val="24"/>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toc 3"/>
    <w:basedOn w:val="1"/>
    <w:next w:val="1"/>
    <w:qFormat/>
    <w:uiPriority w:val="0"/>
    <w:pPr>
      <w:ind w:left="840" w:leftChars="400"/>
    </w:pPr>
    <w:rPr>
      <w:szCs w:val="24"/>
    </w:rPr>
  </w:style>
  <w:style w:type="paragraph" w:styleId="7">
    <w:name w:val="footer"/>
    <w:basedOn w:val="1"/>
    <w:link w:val="19"/>
    <w:autoRedefine/>
    <w:qFormat/>
    <w:uiPriority w:val="99"/>
    <w:pPr>
      <w:tabs>
        <w:tab w:val="center" w:pos="4153"/>
        <w:tab w:val="right" w:pos="8306"/>
      </w:tabs>
      <w:snapToGrid w:val="0"/>
      <w:jc w:val="left"/>
    </w:pPr>
    <w:rPr>
      <w:rFonts w:ascii="Times New Roman" w:hAnsi="Times New Roman"/>
      <w:sz w:val="18"/>
      <w:szCs w:val="20"/>
    </w:rPr>
  </w:style>
  <w:style w:type="paragraph" w:styleId="8">
    <w:name w:val="header"/>
    <w:basedOn w:val="1"/>
    <w:link w:val="1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sz w:val="18"/>
      <w:szCs w:val="20"/>
    </w:rPr>
  </w:style>
  <w:style w:type="paragraph" w:styleId="9">
    <w:name w:val="toc 1"/>
    <w:basedOn w:val="1"/>
    <w:next w:val="1"/>
    <w:qFormat/>
    <w:uiPriority w:val="0"/>
    <w:rPr>
      <w:szCs w:val="24"/>
    </w:rPr>
  </w:style>
  <w:style w:type="paragraph" w:styleId="10">
    <w:name w:val="Body Text Indent 3"/>
    <w:basedOn w:val="1"/>
    <w:link w:val="24"/>
    <w:autoRedefine/>
    <w:qFormat/>
    <w:uiPriority w:val="0"/>
    <w:pPr>
      <w:spacing w:after="120"/>
      <w:ind w:left="420" w:leftChars="200"/>
    </w:pPr>
    <w:rPr>
      <w:rFonts w:asciiTheme="minorHAnsi" w:hAnsiTheme="minorHAnsi" w:eastAsiaTheme="minorEastAsia" w:cstheme="minorBidi"/>
      <w:sz w:val="16"/>
      <w:szCs w:val="16"/>
    </w:rPr>
  </w:style>
  <w:style w:type="paragraph" w:styleId="11">
    <w:name w:val="toc 2"/>
    <w:basedOn w:val="1"/>
    <w:next w:val="1"/>
    <w:qFormat/>
    <w:uiPriority w:val="0"/>
    <w:pPr>
      <w:ind w:left="420" w:leftChars="200"/>
    </w:pPr>
    <w:rPr>
      <w:szCs w:val="24"/>
    </w:rPr>
  </w:style>
  <w:style w:type="paragraph" w:styleId="12">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4">
    <w:name w:val="Table Grid"/>
    <w:basedOn w:val="13"/>
    <w:autoRedefine/>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autoRedefine/>
    <w:semiHidden/>
    <w:unhideWhenUsed/>
    <w:qFormat/>
    <w:uiPriority w:val="99"/>
    <w:rPr>
      <w:color w:val="0000FF"/>
      <w:u w:val="single"/>
    </w:rPr>
  </w:style>
  <w:style w:type="character" w:customStyle="1" w:styleId="17">
    <w:name w:val="标题 1 字符"/>
    <w:basedOn w:val="15"/>
    <w:link w:val="2"/>
    <w:qFormat/>
    <w:uiPriority w:val="0"/>
    <w:rPr>
      <w:rFonts w:ascii="Times New Roman" w:hAnsi="Times New Roman" w:eastAsia="黑体" w:cs="Times New Roman"/>
      <w:sz w:val="36"/>
      <w:szCs w:val="20"/>
    </w:rPr>
  </w:style>
  <w:style w:type="character" w:customStyle="1" w:styleId="18">
    <w:name w:val="页眉 字符"/>
    <w:basedOn w:val="15"/>
    <w:link w:val="8"/>
    <w:qFormat/>
    <w:uiPriority w:val="99"/>
    <w:rPr>
      <w:rFonts w:ascii="Times New Roman" w:hAnsi="Times New Roman" w:eastAsia="宋体" w:cs="Times New Roman"/>
      <w:sz w:val="18"/>
      <w:szCs w:val="20"/>
    </w:rPr>
  </w:style>
  <w:style w:type="character" w:customStyle="1" w:styleId="19">
    <w:name w:val="页脚 字符"/>
    <w:basedOn w:val="15"/>
    <w:link w:val="7"/>
    <w:autoRedefine/>
    <w:qFormat/>
    <w:uiPriority w:val="99"/>
    <w:rPr>
      <w:rFonts w:ascii="Times New Roman" w:hAnsi="Times New Roman" w:eastAsia="宋体" w:cs="Times New Roman"/>
      <w:sz w:val="18"/>
      <w:szCs w:val="20"/>
    </w:rPr>
  </w:style>
  <w:style w:type="character" w:customStyle="1" w:styleId="20">
    <w:name w:val="标题 2 字符"/>
    <w:basedOn w:val="15"/>
    <w:link w:val="3"/>
    <w:qFormat/>
    <w:uiPriority w:val="9"/>
    <w:rPr>
      <w:rFonts w:asciiTheme="majorHAnsi" w:hAnsiTheme="majorHAnsi" w:eastAsiaTheme="majorEastAsia" w:cstheme="majorBidi"/>
      <w:b/>
      <w:bCs/>
      <w:sz w:val="32"/>
      <w:szCs w:val="32"/>
    </w:rPr>
  </w:style>
  <w:style w:type="character" w:customStyle="1" w:styleId="21">
    <w:name w:val="标题 3 字符"/>
    <w:link w:val="4"/>
    <w:qFormat/>
    <w:uiPriority w:val="9"/>
    <w:rPr>
      <w:rFonts w:ascii="Times New Roman" w:hAnsi="Times New Roman" w:eastAsia="宋体" w:cs="Times New Roman"/>
      <w:b/>
      <w:kern w:val="2"/>
      <w:sz w:val="30"/>
      <w:szCs w:val="22"/>
      <w:lang w:val="en-US" w:eastAsia="zh-CN" w:bidi="ar-SA"/>
    </w:rPr>
  </w:style>
  <w:style w:type="character" w:customStyle="1" w:styleId="22">
    <w:name w:val="apple-converted-space"/>
    <w:basedOn w:val="15"/>
    <w:qFormat/>
    <w:uiPriority w:val="0"/>
  </w:style>
  <w:style w:type="paragraph" w:styleId="23">
    <w:name w:val="List Paragraph"/>
    <w:basedOn w:val="1"/>
    <w:qFormat/>
    <w:uiPriority w:val="34"/>
    <w:pPr>
      <w:ind w:firstLine="420" w:firstLineChars="200"/>
    </w:pPr>
  </w:style>
  <w:style w:type="character" w:customStyle="1" w:styleId="24">
    <w:name w:val="正文文本缩进 3 字符"/>
    <w:basedOn w:val="15"/>
    <w:link w:val="10"/>
    <w:qFormat/>
    <w:uiPriority w:val="0"/>
    <w:rPr>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AE4C5-63AC-43F1-ABB7-A74D886701E4}">
  <ds:schemaRefs/>
</ds:datastoreItem>
</file>

<file path=docProps/app.xml><?xml version="1.0" encoding="utf-8"?>
<Properties xmlns="http://schemas.openxmlformats.org/officeDocument/2006/extended-properties" xmlns:vt="http://schemas.openxmlformats.org/officeDocument/2006/docPropsVTypes">
  <Template>Normal</Template>
  <Pages>19</Pages>
  <Words>241</Words>
  <Characters>275</Characters>
  <Lines>150</Lines>
  <Paragraphs>42</Paragraphs>
  <TotalTime>84</TotalTime>
  <ScaleCrop>false</ScaleCrop>
  <LinksUpToDate>false</LinksUpToDate>
  <CharactersWithSpaces>300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2017-05-26T11:18:00Z</dcterms:created>
  <dc:creator>应豪</dc:creator>
  <cp:lastModifiedBy>星辰</cp:lastModifiedBy>
  <dcterms:modified xsi:type="dcterms:W3CDTF">2026-06-09T05:41:05Z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D51BD96619FA4180823D5DD4FD7E89C6_12</vt:lpwstr>
  </property>
  <property fmtid="{D5CDD505-2E9C-101B-9397-08002B2CF9AE}" pid="4" name="KSOTemplateDocerSaveRecord">
    <vt:lpwstr>eyJoZGlkIjoiYTkxYjNhYTQ2NjI1OWJiYzVhNjcxNGEwZjA1OGVhNzMiLCJ1c2VySWQiOiIxNjIwMDA1MTk5In0=</vt:lpwstr>
  </property>
</Properties>
</file>