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jc w:val="center"/>
      </w:pPr>
      <w:r>
        <w:rPr>
          <w:rFonts w:ascii="Times New Roman" w:hAnsi="Times New Roman"/>
          <w:b/>
          <w:i w:val="0"/>
          <w:color w:val="1F4E79"/>
          <w:sz w:val="30"/>
        </w:rPr>
        <w:t>DAFTAR HASIL REVISI SIDANG TUGAS AKHIR</w:t>
      </w:r>
    </w:p>
    <w:p>
      <w:pPr>
        <w:keepNext/>
        <w:spacing w:before="0" w:after="200"/>
        <w:jc w:val="center"/>
      </w:pPr>
      <w:r>
        <w:rPr>
          <w:rFonts w:ascii="Times New Roman" w:hAnsi="Times New Roman"/>
          <w:b w:val="0"/>
          <w:i/>
          <w:color w:val="595959"/>
          <w:sz w:val="22"/>
        </w:rPr>
        <w:t>Ringkasan perubahan substansi, metode pengembangan, ERD, dan asset 3D</w:t>
      </w:r>
    </w:p>
    <w:p>
      <w:pPr>
        <w:spacing w:before="0" w:after="30" w:line="240" w:lineRule="auto"/>
      </w:pPr>
      <w:r>
        <w:rPr>
          <w:rFonts w:ascii="Times New Roman" w:hAnsi="Times New Roman"/>
          <w:b/>
          <w:i w:val="0"/>
          <w:color w:val="1F1F1F"/>
          <w:sz w:val="22"/>
        </w:rPr>
        <w:t xml:space="preserve">Nama   : </w:t>
      </w:r>
      <w:r>
        <w:rPr>
          <w:rFonts w:ascii="Times New Roman" w:hAnsi="Times New Roman"/>
          <w:b w:val="0"/>
          <w:i w:val="0"/>
          <w:color w:val="1F1F1F"/>
          <w:sz w:val="22"/>
        </w:rPr>
        <w:t>Dwikhi Deandra Purnianto</w:t>
      </w:r>
    </w:p>
    <w:p>
      <w:pPr>
        <w:spacing w:before="0" w:after="30" w:line="240" w:lineRule="auto"/>
      </w:pPr>
      <w:r>
        <w:rPr>
          <w:rFonts w:ascii="Times New Roman" w:hAnsi="Times New Roman"/>
          <w:b/>
          <w:i w:val="0"/>
          <w:color w:val="1F1F1F"/>
          <w:sz w:val="22"/>
        </w:rPr>
        <w:t xml:space="preserve">NIM    : </w:t>
      </w:r>
      <w:r>
        <w:rPr>
          <w:rFonts w:ascii="Times New Roman" w:hAnsi="Times New Roman"/>
          <w:b w:val="0"/>
          <w:i w:val="0"/>
          <w:color w:val="1F1F1F"/>
          <w:sz w:val="22"/>
        </w:rPr>
        <w:t>2210511131</w:t>
      </w:r>
    </w:p>
    <w:p>
      <w:pPr>
        <w:spacing w:before="0" w:after="30" w:line="240" w:lineRule="auto"/>
      </w:pPr>
      <w:r>
        <w:rPr>
          <w:rFonts w:ascii="Times New Roman" w:hAnsi="Times New Roman"/>
          <w:b/>
          <w:i w:val="0"/>
          <w:color w:val="1F1F1F"/>
          <w:sz w:val="22"/>
        </w:rPr>
        <w:t xml:space="preserve">Judul  : </w:t>
      </w:r>
      <w:r>
        <w:rPr>
          <w:rFonts w:ascii="Times New Roman" w:hAnsi="Times New Roman"/>
          <w:b w:val="0"/>
          <w:i w:val="0"/>
          <w:color w:val="1F1F1F"/>
          <w:sz w:val="22"/>
        </w:rPr>
        <w:t>Perancangan Asset 3D dan Pengelolaan Database pada Sistem Denah Virtual UPNVJ Kampus Pondok Labu</w:t>
      </w:r>
    </w:p>
    <w:p>
      <w:pPr>
        <w:keepNext/>
        <w:spacing w:before="100" w:after="160" w:line="264" w:lineRule="auto"/>
      </w:pPr>
      <w:r>
        <w:rPr>
          <w:rFonts w:ascii="Times New Roman" w:hAnsi="Times New Roman"/>
          <w:b w:val="0"/>
          <w:i w:val="0"/>
          <w:color w:val="1F1F1F"/>
          <w:sz w:val="22"/>
        </w:rPr>
        <w:t>Dokumen ini memuat enam hasil revisi yang telah diterapkan pada draft laporan tugas akhir.</w:t>
      </w:r>
    </w:p>
    <w:tbl>
      <w:tblPr>
        <w:tblW w:type="dxa" w:w="14450"/>
        <w:tblLayout w:type="fixed"/>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Ind w:w="120" w:type="dxa"/>
      </w:tblPr>
      <w:tblGrid>
        <w:gridCol w:w="620"/>
        <w:gridCol w:w="3300"/>
        <w:gridCol w:w="7700"/>
        <w:gridCol w:w="2830"/>
      </w:tblGrid>
      <w:tr>
        <w:trPr>
          <w:tblHeader w:val="true"/>
          <w:cantSplit/>
        </w:trPr>
        <w:tc>
          <w:tcPr>
            <w:tcW w:type="dxa" w:w="620"/>
            <w:vAlign w:val="center"/>
            <w:shd w:fill="1F4E79" w:val="clear"/>
            <w:tcMar>
              <w:top w:w="100" w:type="dxa"/>
              <w:start w:w="120" w:type="dxa"/>
              <w:bottom w:w="100" w:type="dxa"/>
              <w:end w:w="120" w:type="dxa"/>
            </w:tcMar>
          </w:tcPr>
          <w:p>
            <w:pPr>
              <w:keepLines/>
              <w:spacing w:before="0" w:after="0" w:line="240" w:lineRule="auto"/>
              <w:jc w:val="center"/>
            </w:pPr>
            <w:r>
              <w:rPr>
                <w:rFonts w:ascii="Times New Roman" w:hAnsi="Times New Roman"/>
                <w:b/>
                <w:i w:val="0"/>
                <w:color w:val="FFFFFF"/>
                <w:sz w:val="20"/>
              </w:rPr>
              <w:t>No.</w:t>
            </w:r>
          </w:p>
        </w:tc>
        <w:tc>
          <w:tcPr>
            <w:tcW w:type="dxa" w:w="3300"/>
            <w:vAlign w:val="center"/>
            <w:shd w:fill="1F4E79" w:val="clear"/>
            <w:tcMar>
              <w:top w:w="100" w:type="dxa"/>
              <w:start w:w="120" w:type="dxa"/>
              <w:bottom w:w="100" w:type="dxa"/>
              <w:end w:w="120" w:type="dxa"/>
            </w:tcMar>
          </w:tcPr>
          <w:p>
            <w:pPr>
              <w:keepLines/>
              <w:spacing w:before="0" w:after="0" w:line="240" w:lineRule="auto"/>
              <w:jc w:val="center"/>
            </w:pPr>
            <w:r>
              <w:rPr>
                <w:rFonts w:ascii="Times New Roman" w:hAnsi="Times New Roman"/>
                <w:b/>
                <w:i w:val="0"/>
                <w:color w:val="FFFFFF"/>
                <w:sz w:val="20"/>
              </w:rPr>
              <w:t>Pokok Revisi</w:t>
            </w:r>
          </w:p>
        </w:tc>
        <w:tc>
          <w:tcPr>
            <w:tcW w:type="dxa" w:w="7700"/>
            <w:vAlign w:val="center"/>
            <w:shd w:fill="1F4E79" w:val="clear"/>
            <w:tcMar>
              <w:top w:w="100" w:type="dxa"/>
              <w:start w:w="120" w:type="dxa"/>
              <w:bottom w:w="100" w:type="dxa"/>
              <w:end w:w="120" w:type="dxa"/>
            </w:tcMar>
          </w:tcPr>
          <w:p>
            <w:pPr>
              <w:keepLines/>
              <w:spacing w:before="0" w:after="0" w:line="240" w:lineRule="auto"/>
              <w:jc w:val="center"/>
            </w:pPr>
            <w:r>
              <w:rPr>
                <w:rFonts w:ascii="Times New Roman" w:hAnsi="Times New Roman"/>
                <w:b/>
                <w:i w:val="0"/>
                <w:color w:val="FFFFFF"/>
                <w:sz w:val="20"/>
              </w:rPr>
              <w:t>Hasil dan Penjelasan Revisi</w:t>
            </w:r>
          </w:p>
        </w:tc>
        <w:tc>
          <w:tcPr>
            <w:tcW w:type="dxa" w:w="2830"/>
            <w:vAlign w:val="center"/>
            <w:shd w:fill="1F4E79" w:val="clear"/>
            <w:tcMar>
              <w:top w:w="100" w:type="dxa"/>
              <w:start w:w="120" w:type="dxa"/>
              <w:bottom w:w="100" w:type="dxa"/>
              <w:end w:w="120" w:type="dxa"/>
            </w:tcMar>
          </w:tcPr>
          <w:p>
            <w:pPr>
              <w:keepLines/>
              <w:spacing w:before="0" w:after="0" w:line="240" w:lineRule="auto"/>
              <w:jc w:val="center"/>
            </w:pPr>
            <w:r>
              <w:rPr>
                <w:rFonts w:ascii="Times New Roman" w:hAnsi="Times New Roman"/>
                <w:b/>
                <w:i w:val="0"/>
                <w:color w:val="FFFFFF"/>
                <w:sz w:val="20"/>
              </w:rPr>
              <w:t>Lokasi</w:t>
            </w:r>
          </w:p>
        </w:tc>
      </w:tr>
      <w:tr>
        <w:trPr>
          <w:cantSplit/>
        </w:trPr>
        <w:tc>
          <w:tcPr>
            <w:tcW w:type="dxa" w:w="620"/>
            <w:vAlign w:val="center"/>
            <w:shd w:fill="FFFFFF" w:val="clear"/>
            <w:tcMar>
              <w:top w:w="100" w:type="dxa"/>
              <w:start w:w="120" w:type="dxa"/>
              <w:bottom w:w="100" w:type="dxa"/>
              <w:end w:w="120" w:type="dxa"/>
            </w:tcMar>
          </w:tcPr>
          <w:p>
            <w:pPr>
              <w:keepLines/>
              <w:spacing w:before="0" w:after="0" w:line="250" w:lineRule="auto"/>
              <w:jc w:val="center"/>
            </w:pPr>
            <w:r>
              <w:rPr>
                <w:rFonts w:ascii="Times New Roman" w:hAnsi="Times New Roman"/>
                <w:b/>
                <w:i w:val="0"/>
                <w:color w:val="1F1F1F"/>
                <w:sz w:val="20"/>
              </w:rPr>
              <w:t>1</w:t>
            </w:r>
          </w:p>
        </w:tc>
        <w:tc>
          <w:tcPr>
            <w:tcW w:type="dxa" w:w="330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i w:val="0"/>
                <w:color w:val="1F1F1F"/>
                <w:sz w:val="20"/>
              </w:rPr>
              <w:t>Penyelarasan alur masalah, tujuan, dan kesimpulan</w:t>
            </w:r>
          </w:p>
        </w:tc>
        <w:tc>
          <w:tcPr>
            <w:tcW w:type="dxa" w:w="770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Latar Belakang, Identifikasi Masalah, Tujuan, dan Kesimpulan diselaraskan menjadi tiga rantai pembahasan. Kebutuhan representasi 3D dijawab melalui pembuatan dan penataan 19 asset gedung serta satu asset fasilitas Masjid. Kebutuhan keteraturan data dijawab melalui skema akhir 11 tabel, 10 foreign key, constraint, RLS, dan pengelolaan data awal. Masalah hubungan data dengan objek Unity dijawab melalui penerapan unity_object_name dan pemeriksaan nama tujuan. Ketiga hasil tersebut dirangkum kembali secara konsisten pada Kesimpulan.</w:t>
            </w:r>
          </w:p>
        </w:tc>
        <w:tc>
          <w:tcPr>
            <w:tcW w:type="dxa" w:w="283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BAB I Subbab 1.1 (hlm. 1-3), 1.2 (hlm. 4), dan 1.4.1 (hlm. 6); BAB IV Subbab 4.1 (hlm. 91)</w:t>
            </w:r>
          </w:p>
        </w:tc>
      </w:tr>
      <w:tr>
        <w:trPr>
          <w:cantSplit/>
        </w:trPr>
        <w:tc>
          <w:tcPr>
            <w:tcW w:type="dxa" w:w="620"/>
            <w:vAlign w:val="center"/>
            <w:shd w:fill="EEF5FA" w:val="clear"/>
            <w:tcMar>
              <w:top w:w="100" w:type="dxa"/>
              <w:start w:w="120" w:type="dxa"/>
              <w:bottom w:w="100" w:type="dxa"/>
              <w:end w:w="120" w:type="dxa"/>
            </w:tcMar>
          </w:tcPr>
          <w:p>
            <w:pPr>
              <w:keepLines/>
              <w:spacing w:before="0" w:after="0" w:line="250" w:lineRule="auto"/>
              <w:jc w:val="center"/>
            </w:pPr>
            <w:r>
              <w:rPr>
                <w:rFonts w:ascii="Times New Roman" w:hAnsi="Times New Roman"/>
                <w:b/>
                <w:i w:val="0"/>
                <w:color w:val="1F1F1F"/>
                <w:sz w:val="20"/>
              </w:rPr>
              <w:t>2</w:t>
            </w:r>
          </w:p>
        </w:tc>
        <w:tc>
          <w:tcPr>
            <w:tcW w:type="dxa" w:w="330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i w:val="0"/>
                <w:color w:val="1F1F1F"/>
                <w:sz w:val="20"/>
              </w:rPr>
              <w:t>Pengembangan sistem dengan metode Prototyping</w:t>
            </w:r>
          </w:p>
        </w:tc>
        <w:tc>
          <w:tcPr>
            <w:tcW w:type="dxa" w:w="770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Pembahasan metode Prototyping diperluas menjadi tujuh tahap yang dapat ditelusuri, yaitu memahami kebutuhan, merancang hubungan dan akses data, membuat struktur serta seed data, membuat visual gedung, menambahkan titik tujuan, memeriksa dan memperbaiki hasil, serta mendokumentasikan implementasi. Tahapan tersebut tidak dianggap berjalan satu kali. Ketidaksesuaian relasi, kode lokasi, bentuk, material, atau susunan objek mengembalikan proses ke tahap terkait untuk diperbaiki dan diperiksa kembali. Istilah prototipe dipertahankan sebagai bagian metode, sedangkan hasil akhir dijelaskan sebagai asset, data, dan sistem yang telah diintegrasikan.</w:t>
            </w:r>
          </w:p>
        </w:tc>
        <w:tc>
          <w:tcPr>
            <w:tcW w:type="dxa" w:w="283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BAB II Subbab 2.3.1 (hlm. 21-23); BAB III Subbab 3.2 (hlm. 33-47)</w:t>
            </w:r>
          </w:p>
        </w:tc>
      </w:tr>
      <w:tr>
        <w:trPr>
          <w:cantSplit/>
        </w:trPr>
        <w:tc>
          <w:tcPr>
            <w:tcW w:type="dxa" w:w="620"/>
            <w:vAlign w:val="center"/>
            <w:shd w:fill="FFFFFF" w:val="clear"/>
            <w:tcMar>
              <w:top w:w="100" w:type="dxa"/>
              <w:start w:w="120" w:type="dxa"/>
              <w:bottom w:w="100" w:type="dxa"/>
              <w:end w:w="120" w:type="dxa"/>
            </w:tcMar>
          </w:tcPr>
          <w:p>
            <w:pPr>
              <w:keepLines/>
              <w:spacing w:before="0" w:after="0" w:line="250" w:lineRule="auto"/>
              <w:jc w:val="center"/>
            </w:pPr>
            <w:r>
              <w:rPr>
                <w:rFonts w:ascii="Times New Roman" w:hAnsi="Times New Roman"/>
                <w:b/>
                <w:i w:val="0"/>
                <w:color w:val="1F1F1F"/>
                <w:sz w:val="20"/>
              </w:rPr>
              <w:t>3</w:t>
            </w:r>
          </w:p>
        </w:tc>
        <w:tc>
          <w:tcPr>
            <w:tcW w:type="dxa" w:w="330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i w:val="0"/>
                <w:color w:val="1F1F1F"/>
                <w:sz w:val="20"/>
              </w:rPr>
              <w:t>Penyempurnaan ERD menjadi skema akhir 11 tabel</w:t>
            </w:r>
          </w:p>
        </w:tc>
        <w:tc>
          <w:tcPr>
            <w:tcW w:type="dxa" w:w="770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ERD yang sebelumnya hanya menampilkan empat tabel data kampus dilengkapi menjadi skema akhir 11 tabel dan 10 foreign key. Diagram dibagi menjadi dua agar tetap terbaca pada halaman laporan: diagram pertama memuat delapan tabel data kampus dan Denah 2D, sedangkan diagram kedua memuat tiga tabel pendukung administrasi, audit, dan analitik. Pemisahan tersebut juga mencegah audit_logs.actor_id digambarkan sebagai relasi ke admin_users atau auth.users karena SQL tidak mendefinisikan foreign key tersebut.</w:t>
            </w:r>
          </w:p>
        </w:tc>
        <w:tc>
          <w:tcPr>
            <w:tcW w:type="dxa" w:w="283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BAB II Subbab 2.3.4 (hlm. 26-28); BAB III Subbab 3.2.1 (hlm. 34) dan 3.3.1 (hlm. 48)</w:t>
            </w:r>
          </w:p>
        </w:tc>
      </w:tr>
      <w:tr>
        <w:trPr>
          <w:cantSplit/>
        </w:trPr>
        <w:tc>
          <w:tcPr>
            <w:tcW w:type="dxa" w:w="620"/>
            <w:vAlign w:val="center"/>
            <w:shd w:fill="EEF5FA" w:val="clear"/>
            <w:tcMar>
              <w:top w:w="100" w:type="dxa"/>
              <w:start w:w="120" w:type="dxa"/>
              <w:bottom w:w="100" w:type="dxa"/>
              <w:end w:w="120" w:type="dxa"/>
            </w:tcMar>
          </w:tcPr>
          <w:p>
            <w:pPr>
              <w:keepLines/>
              <w:spacing w:before="0" w:after="0" w:line="250" w:lineRule="auto"/>
              <w:jc w:val="center"/>
            </w:pPr>
            <w:r>
              <w:rPr>
                <w:rFonts w:ascii="Times New Roman" w:hAnsi="Times New Roman"/>
                <w:b/>
                <w:i w:val="0"/>
                <w:color w:val="1F1F1F"/>
                <w:sz w:val="20"/>
              </w:rPr>
              <w:t>4</w:t>
            </w:r>
          </w:p>
        </w:tc>
        <w:tc>
          <w:tcPr>
            <w:tcW w:type="dxa" w:w="330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i w:val="0"/>
                <w:color w:val="1F1F1F"/>
                <w:sz w:val="20"/>
              </w:rPr>
              <w:t>Pelengkapan struktur dan integritas database</w:t>
            </w:r>
          </w:p>
        </w:tc>
        <w:tc>
          <w:tcPr>
            <w:tcW w:type="dxa" w:w="770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Pembahasan struktur database dilengkapi dengan primary key, foreign key, kolom wajib, unique constraint, nullability, dan aksi penghapusan ON DELETE CASCADE atau ON DELETE SET NULL. Sepuluh foreign key dijelaskan berdasarkan hubungan tiga tabel data kampus dan tujuh relasi Denah 2D. Matriks pemeriksaan integritas juga ditambahkan untuk membedakan bukti struktur pada artefak SQL dari sebagian bukti kondisi database aktif. Dengan demikian, laporan tidak membuat relasi tambahan atau klaim penerapan produksi yang tidak didukung bukti.</w:t>
            </w:r>
          </w:p>
        </w:tc>
        <w:tc>
          <w:tcPr>
            <w:tcW w:type="dxa" w:w="283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BAB II Subbab 2.3.4 (hlm. 26-28); BAB III Subbab 3.3.1 (hlm. 48) dan 3.5.2 (hlm. 79)</w:t>
            </w:r>
          </w:p>
        </w:tc>
      </w:tr>
      <w:tr>
        <w:trPr>
          <w:cantSplit/>
        </w:trPr>
        <w:tc>
          <w:tcPr>
            <w:tcW w:type="dxa" w:w="620"/>
            <w:vAlign w:val="center"/>
            <w:shd w:fill="FFFFFF" w:val="clear"/>
            <w:tcMar>
              <w:top w:w="100" w:type="dxa"/>
              <w:start w:w="120" w:type="dxa"/>
              <w:bottom w:w="100" w:type="dxa"/>
              <w:end w:w="120" w:type="dxa"/>
            </w:tcMar>
          </w:tcPr>
          <w:p>
            <w:pPr>
              <w:keepLines/>
              <w:spacing w:before="0" w:after="0" w:line="250" w:lineRule="auto"/>
              <w:jc w:val="center"/>
            </w:pPr>
            <w:r>
              <w:rPr>
                <w:rFonts w:ascii="Times New Roman" w:hAnsi="Times New Roman"/>
                <w:b/>
                <w:i w:val="0"/>
                <w:color w:val="1F1F1F"/>
                <w:sz w:val="20"/>
              </w:rPr>
              <w:t>5</w:t>
            </w:r>
          </w:p>
        </w:tc>
        <w:tc>
          <w:tcPr>
            <w:tcW w:type="dxa" w:w="330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i w:val="0"/>
                <w:color w:val="1F1F1F"/>
                <w:sz w:val="20"/>
              </w:rPr>
              <w:t>Pelengkapan proses pembuatan asset Gedung Dewi Sartika</w:t>
            </w:r>
          </w:p>
        </w:tc>
        <w:tc>
          <w:tcPr>
            <w:tcW w:type="dxa" w:w="770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Proses pembuatan Gedung Dewi Sartika diperinci sebagai studi implementasi utama. Uraian dimulai dari foto referensi, pembentukan bentuk dasar dan struktur lantai, pembuatan material serta tekstur, penambahan objek pendukung, dan pengelompokan objek berdasarkan lantai. Tahap integrasi kemudian menjelaskan pembuatan kelompok Pointer, penamaan objek tujuan dewi_sartika, penempatan gedung pada scene utama, serta penyimpanan susunan akhir sebagai prefab. Setiap tahap didukung gambar proses yang dirujuk dari narasi.</w:t>
            </w:r>
          </w:p>
        </w:tc>
        <w:tc>
          <w:tcPr>
            <w:tcW w:type="dxa" w:w="283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BAB III Subbab 3.2.2-3.2.4 (hlm. 35-45)</w:t>
            </w:r>
          </w:p>
        </w:tc>
      </w:tr>
      <w:tr>
        <w:trPr>
          <w:cantSplit/>
        </w:trPr>
        <w:tc>
          <w:tcPr>
            <w:tcW w:type="dxa" w:w="620"/>
            <w:vAlign w:val="center"/>
            <w:shd w:fill="EEF5FA" w:val="clear"/>
            <w:tcMar>
              <w:top w:w="100" w:type="dxa"/>
              <w:start w:w="120" w:type="dxa"/>
              <w:bottom w:w="100" w:type="dxa"/>
              <w:end w:w="120" w:type="dxa"/>
            </w:tcMar>
          </w:tcPr>
          <w:p>
            <w:pPr>
              <w:keepLines/>
              <w:spacing w:before="0" w:after="0" w:line="250" w:lineRule="auto"/>
              <w:jc w:val="center"/>
            </w:pPr>
            <w:r>
              <w:rPr>
                <w:rFonts w:ascii="Times New Roman" w:hAnsi="Times New Roman"/>
                <w:b/>
                <w:i w:val="0"/>
                <w:color w:val="1F1F1F"/>
                <w:sz w:val="20"/>
              </w:rPr>
              <w:t>6</w:t>
            </w:r>
          </w:p>
        </w:tc>
        <w:tc>
          <w:tcPr>
            <w:tcW w:type="dxa" w:w="330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i w:val="0"/>
                <w:color w:val="1F1F1F"/>
                <w:sz w:val="20"/>
              </w:rPr>
              <w:t>Penyelarasan pemetaan asset dengan database</w:t>
            </w:r>
          </w:p>
        </w:tc>
        <w:tc>
          <w:tcPr>
            <w:tcW w:type="dxa" w:w="770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Hubungan antara data lokasi dan objek tujuan Unity diperjelas melalui kolom unity_object_name pada tabel gedung dan fasilitas. Kode yang sama diterapkan sebagai nama GameObject tujuan pada kelompok Pointer sehingga data yang dipilih dapat diarahkan ke objek yang sesuai. Contoh dewi_sartika dan ds_bem digunakan untuk menunjukkan pemetaan gedung serta fasilitas. DatabaseSyncChecker dijelaskan sebagai alat milik pengembang engine yang digunakan penulis untuk menelusuri nama yang perlu diperiksa, tanpa mengklaim bahwa seluruh pemetaan telah cocok.</w:t>
            </w:r>
          </w:p>
        </w:tc>
        <w:tc>
          <w:tcPr>
            <w:tcW w:type="dxa" w:w="283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BAB II Subbab 2.3.6 (hlm. 29-30); BAB III Subbab 3.2.5 (hlm. 46-47) dan 3.5.5 (hlm. 81)</w:t>
            </w:r>
          </w:p>
        </w:tc>
      </w:tr>
    </w:tbl>
    <w:sectPr w:rsidR="00FC693F" w:rsidRPr="0006063C" w:rsidSect="00034616">
      <w:headerReference w:type="default" r:id="rId9"/>
      <w:footerReference w:type="default" r:id="rId10"/>
      <w:pgSz w:w="16838" w:h="11906" w:orient="landscape"/>
      <w:pgMar w:top="1134" w:right="1134" w:bottom="1134"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b w:val="0"/>
        <w:i w:val="0"/>
        <w:color w:val="595959"/>
        <w:sz w:val="18"/>
      </w:rPr>
      <w:t xml:space="preserve">Halaman </w:t>
    </w:r>
    <w:r>
      <w:rPr>
        <w:rFonts w:ascii="Times New Roman" w:hAnsi="Times New Roman"/>
        <w:b w:val="0"/>
        <w:i w:val="0"/>
        <w:color w:val="595959"/>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b/>
        <w:i w:val="0"/>
        <w:color w:val="595959"/>
        <w:sz w:val="17"/>
      </w:rPr>
      <w:t>TUGAS AKHIR | DWIKHI DEANDRA PURNIANTO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Times New Roman" w:hAnsi="Times New Roman"/>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Daftar Hasil Revisi Sidang Tugas Akhir</dc:title>
  <dc:subject>Hasil revisi sidang Dwikhi Deandra Purnianto</dc:subject>
  <dc:creator>Dwikhi Deandra Purnianto</dc:creator>
  <cp:keywords>revisi sidang, tugas akhir, Dwikhi Deandra Purnianto</cp:keywords>
  <dc:description>generated by python-docx</dc:description>
  <cp:lastModifiedBy/>
  <cp:revision>1</cp:revision>
  <dcterms:created xsi:type="dcterms:W3CDTF">2013-12-23T23:15:00Z</dcterms:created>
  <dcterms:modified xsi:type="dcterms:W3CDTF">2013-12-23T23:15:00Z</dcterms:modified>
  <cp:category/>
</cp:coreProperties>
</file>