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jc w:val="center"/>
      </w:pPr>
      <w:r>
        <w:rPr>
          <w:rFonts w:ascii="Times New Roman" w:hAnsi="Times New Roman"/>
          <w:b/>
          <w:i w:val="0"/>
          <w:color w:val="1F4E79"/>
          <w:sz w:val="30"/>
        </w:rPr>
        <w:t>DAFTAR HASIL REVISI SIDANG TUGAS AKHIR</w:t>
      </w:r>
    </w:p>
    <w:p>
      <w:pPr>
        <w:keepNext/>
        <w:spacing w:before="0" w:after="200"/>
        <w:jc w:val="center"/>
      </w:pPr>
      <w:r>
        <w:rPr>
          <w:rFonts w:ascii="Times New Roman" w:hAnsi="Times New Roman"/>
          <w:b w:val="0"/>
          <w:i/>
          <w:color w:val="595959"/>
          <w:sz w:val="22"/>
        </w:rPr>
        <w:t>Ringkasan perubahan substansi, metodologi, pengujian, dan diagram</w:t>
      </w:r>
    </w:p>
    <w:p>
      <w:pPr>
        <w:spacing w:before="0" w:after="30" w:line="240" w:lineRule="auto"/>
      </w:pPr>
      <w:r>
        <w:rPr>
          <w:rFonts w:ascii="Times New Roman" w:hAnsi="Times New Roman"/>
          <w:b/>
          <w:i w:val="0"/>
          <w:color w:val="1F1F1F"/>
          <w:sz w:val="22"/>
        </w:rPr>
        <w:t xml:space="preserve">Nama   : </w:t>
      </w:r>
      <w:r>
        <w:rPr>
          <w:rFonts w:ascii="Times New Roman" w:hAnsi="Times New Roman"/>
          <w:b w:val="0"/>
          <w:i w:val="0"/>
          <w:color w:val="1F1F1F"/>
          <w:sz w:val="22"/>
        </w:rPr>
        <w:t>Muhammad Iman Nugraha</w:t>
      </w:r>
    </w:p>
    <w:p>
      <w:pPr>
        <w:spacing w:before="0" w:after="30" w:line="240" w:lineRule="auto"/>
      </w:pPr>
      <w:r>
        <w:rPr>
          <w:rFonts w:ascii="Times New Roman" w:hAnsi="Times New Roman"/>
          <w:b/>
          <w:i w:val="0"/>
          <w:color w:val="1F1F1F"/>
          <w:sz w:val="22"/>
        </w:rPr>
        <w:t xml:space="preserve">NIM    : </w:t>
      </w:r>
      <w:r>
        <w:rPr>
          <w:rFonts w:ascii="Times New Roman" w:hAnsi="Times New Roman"/>
          <w:b w:val="0"/>
          <w:i w:val="0"/>
          <w:color w:val="1F1F1F"/>
          <w:sz w:val="22"/>
        </w:rPr>
        <w:t>2210511129</w:t>
      </w:r>
    </w:p>
    <w:p>
      <w:pPr>
        <w:spacing w:before="0" w:after="30" w:line="240" w:lineRule="auto"/>
      </w:pPr>
      <w:r>
        <w:rPr>
          <w:rFonts w:ascii="Times New Roman" w:hAnsi="Times New Roman"/>
          <w:b/>
          <w:i w:val="0"/>
          <w:color w:val="1F1F1F"/>
          <w:sz w:val="22"/>
        </w:rPr>
        <w:t xml:space="preserve">Judul  : </w:t>
      </w:r>
      <w:r>
        <w:rPr>
          <w:rFonts w:ascii="Times New Roman" w:hAnsi="Times New Roman"/>
          <w:b w:val="0"/>
          <w:i w:val="0"/>
          <w:color w:val="1F1F1F"/>
          <w:sz w:val="22"/>
        </w:rPr>
        <w:t>Pengembangan Dashboard Web, Integrasi Unity WebGL, dan Deployment Sistem Denah Virtual UPNVJ Kampus Pondok Labu</w:t>
      </w:r>
    </w:p>
    <w:p>
      <w:pPr>
        <w:keepNext/>
        <w:spacing w:before="100" w:after="160" w:line="264" w:lineRule="auto"/>
      </w:pPr>
      <w:r>
        <w:rPr>
          <w:rFonts w:ascii="Times New Roman" w:hAnsi="Times New Roman"/>
          <w:b w:val="0"/>
          <w:i w:val="0"/>
          <w:color w:val="1F1F1F"/>
          <w:sz w:val="22"/>
        </w:rPr>
        <w:t>Dokumen ini memuat enam hasil revisi yang telah diterapkan pada draft laporan tugas akhir.</w:t>
      </w:r>
    </w:p>
    <w:tbl>
      <w:tblPr>
        <w:tblW w:type="dxa" w:w="14450"/>
        <w:tblLayout w:type="fixed"/>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Ind w:w="120" w:type="dxa"/>
      </w:tblPr>
      <w:tblGrid>
        <w:gridCol w:w="620"/>
        <w:gridCol w:w="3300"/>
        <w:gridCol w:w="7700"/>
        <w:gridCol w:w="2830"/>
      </w:tblGrid>
      <w:tr>
        <w:trPr>
          <w:tblHeader w:val="true"/>
          <w:cantSplit/>
        </w:trPr>
        <w:tc>
          <w:tcPr>
            <w:tcW w:type="dxa" w:w="62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No.</w:t>
            </w:r>
          </w:p>
        </w:tc>
        <w:tc>
          <w:tcPr>
            <w:tcW w:type="dxa" w:w="330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Pokok Revisi</w:t>
            </w:r>
          </w:p>
        </w:tc>
        <w:tc>
          <w:tcPr>
            <w:tcW w:type="dxa" w:w="770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Hasil dan Penjelasan Revisi</w:t>
            </w:r>
          </w:p>
        </w:tc>
        <w:tc>
          <w:tcPr>
            <w:tcW w:type="dxa" w:w="2830"/>
            <w:vAlign w:val="center"/>
            <w:shd w:fill="1F4E79" w:val="clear"/>
            <w:tcMar>
              <w:top w:w="100" w:type="dxa"/>
              <w:start w:w="120" w:type="dxa"/>
              <w:bottom w:w="100" w:type="dxa"/>
              <w:end w:w="120" w:type="dxa"/>
            </w:tcMar>
          </w:tcPr>
          <w:p>
            <w:pPr>
              <w:keepLines/>
              <w:spacing w:before="0" w:after="0" w:line="240" w:lineRule="auto"/>
              <w:jc w:val="center"/>
            </w:pPr>
            <w:r>
              <w:rPr>
                <w:rFonts w:ascii="Times New Roman" w:hAnsi="Times New Roman"/>
                <w:b/>
                <w:i w:val="0"/>
                <w:color w:val="FFFFFF"/>
                <w:sz w:val="20"/>
              </w:rPr>
              <w:t>Lokasi</w:t>
            </w:r>
          </w:p>
        </w:tc>
      </w:tr>
      <w:tr>
        <w:trPr>
          <w:cantSplit/>
        </w:trPr>
        <w:tc>
          <w:tcPr>
            <w:tcW w:type="dxa" w:w="620"/>
            <w:vAlign w:val="center"/>
            <w:shd w:fill="FFFFFF"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1</w:t>
            </w:r>
          </w:p>
        </w:tc>
        <w:tc>
          <w:tcPr>
            <w:tcW w:type="dxa" w:w="33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Penyelarasan alur masalah, tujuan, dan kesimpulan</w:t>
            </w:r>
          </w:p>
        </w:tc>
        <w:tc>
          <w:tcPr>
            <w:tcW w:type="dxa" w:w="77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Latar Belakang, Identifikasi Masalah, Tujuan, dan Kesimpulan diselaraskan menjadi tiga rantai yang saling menjawab. Masalah pertama membahas kesulitan pengguna memperoleh informasi dan menemukan lokasi; masalah kedua membahas belum terhubungnya informasi, pencarian tujuan, dan panduan spasial; masalah ketiga membahas kebutuhan pengelolaan informasi yang terkendali dan konsisten. Tujuan 1-3 menjawab masing-masing masalah tersebut dan Kesimpulan 1-3 kembali menyatakan hasil penyelesaiannya. Tutorial dan FAQ tidak diposisikan sebagai temuan kebutuhan awal, melainkan sebagai tindak lanjut evaluasi UAT.</w:t>
            </w:r>
          </w:p>
        </w:tc>
        <w:tc>
          <w:tcPr>
            <w:tcW w:type="dxa" w:w="283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 Subbab 1.1 (hlm. 1), 1.2 (hlm. 2), dan 1.4.1 (hlm. 4); BAB IV Subbab 4.1 (hlm. 76)</w:t>
            </w:r>
          </w:p>
        </w:tc>
      </w:tr>
      <w:tr>
        <w:trPr>
          <w:cantSplit/>
        </w:trPr>
        <w:tc>
          <w:tcPr>
            <w:tcW w:type="dxa" w:w="620"/>
            <w:vAlign w:val="center"/>
            <w:shd w:fill="EEF5FA"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2</w:t>
            </w:r>
          </w:p>
        </w:tc>
        <w:tc>
          <w:tcPr>
            <w:tcW w:type="dxa" w:w="33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Pengembangan sistem dengan metode Prototyping</w:t>
            </w:r>
          </w:p>
        </w:tc>
        <w:tc>
          <w:tcPr>
            <w:tcW w:type="dxa" w:w="77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Pembahasan pengembangan diperluas dari uraian umum menjadi lima tahap yang dapat ditelusuri, yaitu Pengumpulan Kebutuhan, Perancangan Cepat, Pembangunan Prototipe, Evaluasi Prototipe, dan Perbaikan Berulang. Pada tahap pembangunan, kontribusi penulis mencakup React SPA, Dashboard Publik, Panel Admin, Denah 2D berbasis algoritma A*, REST API, autentikasi dan pengelolaan data, penghubung React-Unity, serta konfigurasi deployment. Komponen database, aset, dan aplikasi Unity dari anggota tim diintegrasikan melalui identitas data, kode lokasi, endpoint API, dan file hasil build WebGL. Hasil evaluasi Black Box dan UAT kemudian digunakan untuk perbaikan berulang. Istilah prototipe tetap digunakan untuk nama tahap metodologis, sedangkan keluaran setelah integrasi, evaluasi, dan perbaikan dinyatakan sebagai sistem terintegrasi.</w:t>
            </w:r>
          </w:p>
        </w:tc>
        <w:tc>
          <w:tcPr>
            <w:tcW w:type="dxa" w:w="283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Subbab 2.3.1 (hlm. 21-23; Gambar 2.10 hlm. 23); BAB III Subbab 3.2 (hlm. 40-46)</w:t>
            </w:r>
          </w:p>
        </w:tc>
      </w:tr>
      <w:tr>
        <w:trPr>
          <w:cantSplit/>
        </w:trPr>
        <w:tc>
          <w:tcPr>
            <w:tcW w:type="dxa" w:w="620"/>
            <w:vAlign w:val="center"/>
            <w:shd w:fill="FFFFFF"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3</w:t>
            </w:r>
          </w:p>
        </w:tc>
        <w:tc>
          <w:tcPr>
            <w:tcW w:type="dxa" w:w="33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Perbaikan Use Case Diagram</w:t>
            </w:r>
          </w:p>
        </w:tc>
        <w:tc>
          <w:tcPr>
            <w:tcW w:type="dxa" w:w="77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Use Case Diagram diperbaiki dengan hanya menggunakan dua aktor manusia, yaitu Pengguna Publik dan Administrator. Kedua aktor dihubungkan dengan use case bersama "Mengakses Data Gedung dan Fasilitas" karena menggunakan sumber data yang sama dengan hak akses berbeda. Use case "Mengelola Data Gedung, Fasilitas, Program Studi, dan Konfigurasi Denah 2D" memiliki relasi &lt;&lt;include&gt;&gt; menuju akses data karena proses pengelolaan selalu memerlukan pembacaan data yang sedang dikelola. Unity WebGL dan alat pemeriksaan Unity Editor diposisikan sebagai komponen internal sistem, bukan sebagai aktor.</w:t>
            </w:r>
          </w:p>
        </w:tc>
        <w:tc>
          <w:tcPr>
            <w:tcW w:type="dxa" w:w="283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Subbab 2.3.3 (hlm. 24-30); Gambar 2.12 (hlm. 26)</w:t>
            </w:r>
          </w:p>
        </w:tc>
      </w:tr>
      <w:tr>
        <w:trPr>
          <w:cantSplit/>
        </w:trPr>
        <w:tc>
          <w:tcPr>
            <w:tcW w:type="dxa" w:w="620"/>
            <w:vAlign w:val="center"/>
            <w:shd w:fill="EEF5FA"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4</w:t>
            </w:r>
          </w:p>
        </w:tc>
        <w:tc>
          <w:tcPr>
            <w:tcW w:type="dxa" w:w="33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Penguatan landasan teori dan sitasi</w:t>
            </w:r>
          </w:p>
        </w:tc>
        <w:tc>
          <w:tcPr>
            <w:tcW w:type="dxa" w:w="77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Landasan teori diperkuat secara terarah pada BAB II dan BAB III tanpa menambah uraian yang tidak mendukung masalah pada Latar Belakang. Teori yang ditambahkan atau diperjelas mencakup REST API dan JWT, arsitektur serverless, WCAG 2.2, metode Prototyping, arsitektur informasi, fungsi Use Case/Activity/Sequence Diagram, algoritma A*, serta fungsi dan keterbatasan audit Lighthouse. Sumber sebelum tahun 2022 dihapus atau diganti. Daftar Pustaka akhir memuat 18 sumber dengan rentang tahun 2022-2026.</w:t>
            </w:r>
          </w:p>
        </w:tc>
        <w:tc>
          <w:tcPr>
            <w:tcW w:type="dxa" w:w="283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Subbab 2.2.2-2.2.3 (hlm. 18-20), 2.3.1-2.3.4 (hlm. 21-30), 2.3.6 (hlm. 33-35), dan 2.4.2 (hlm. 36); BAB III Subbab 3.5.3 (hlm. 65-66); Daftar Pustaka (hlm. 78-79)</w:t>
            </w:r>
          </w:p>
        </w:tc>
      </w:tr>
      <w:tr>
        <w:trPr>
          <w:cantSplit/>
        </w:trPr>
        <w:tc>
          <w:tcPr>
            <w:tcW w:type="dxa" w:w="620"/>
            <w:vAlign w:val="center"/>
            <w:shd w:fill="FFFFFF"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5</w:t>
            </w:r>
          </w:p>
        </w:tc>
        <w:tc>
          <w:tcPr>
            <w:tcW w:type="dxa" w:w="33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Pembaruan hasil dan batas interpretasi pengujian</w:t>
            </w:r>
          </w:p>
        </w:tc>
        <w:tc>
          <w:tcPr>
            <w:tcW w:type="dxa" w:w="770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Hasil pengujian diperbarui berdasarkan bukti yang tersedia: 129 pengujian otomatis pada 13 file dinyatakan lulus, empat pemeriksaan manual API memperoleh hasil sesuai harapan, dan pengujian Black Box akhir mencatat 24 dari 24 skenario lulus setelah perbaikan serta pengujian ulang BB-20. UAT tertutup menghasilkan nilai 77,78% untuk Dashboard Publik, 84,55% untuk Panel Admin, dan 81,50% secara gabungan. Lighthouse menghasilkan skor Kinerja 86 pada simulasi smartphone dan 99 pada komputer desktop, sedangkan Aksesibilitas, Praktik Terbaik, dan SEO memperoleh skor 100. Batas interpretasi juga ditegaskan: UAT hanya melibatkan lima peserta tertutup, audit Lighthouse merupakan pengujian laboratorium lokal, dan pemeriksaan setelah revisi tidak diklaim sebagai UAT kedua.</w:t>
            </w:r>
          </w:p>
        </w:tc>
        <w:tc>
          <w:tcPr>
            <w:tcW w:type="dxa" w:w="2830"/>
            <w:vAlign w:val="center"/>
            <w:shd w:fill="FFFFFF"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III Subbab 3.5.1-3.5.6 (hlm. 54-75); Lampiran 5 (hlm. 118-120)</w:t>
            </w:r>
          </w:p>
        </w:tc>
      </w:tr>
      <w:tr>
        <w:trPr>
          <w:cantSplit/>
        </w:trPr>
        <w:tc>
          <w:tcPr>
            <w:tcW w:type="dxa" w:w="620"/>
            <w:vAlign w:val="center"/>
            <w:shd w:fill="EEF5FA" w:val="clear"/>
            <w:tcMar>
              <w:top w:w="100" w:type="dxa"/>
              <w:start w:w="120" w:type="dxa"/>
              <w:bottom w:w="100" w:type="dxa"/>
              <w:end w:w="120" w:type="dxa"/>
            </w:tcMar>
          </w:tcPr>
          <w:p>
            <w:pPr>
              <w:keepLines/>
              <w:spacing w:before="0" w:after="0" w:line="250" w:lineRule="auto"/>
              <w:jc w:val="center"/>
            </w:pPr>
            <w:r>
              <w:rPr>
                <w:rFonts w:ascii="Times New Roman" w:hAnsi="Times New Roman"/>
                <w:b/>
                <w:i w:val="0"/>
                <w:color w:val="1F1F1F"/>
                <w:sz w:val="20"/>
              </w:rPr>
              <w:t>6</w:t>
            </w:r>
          </w:p>
        </w:tc>
        <w:tc>
          <w:tcPr>
            <w:tcW w:type="dxa" w:w="33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i w:val="0"/>
                <w:color w:val="1F1F1F"/>
                <w:sz w:val="20"/>
              </w:rPr>
              <w:t>Penyelarasan diagram dengan implementasi sistem</w:t>
            </w:r>
          </w:p>
        </w:tc>
        <w:tc>
          <w:tcPr>
            <w:tcW w:type="dxa" w:w="770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Diagram arsitektur, tahapan Prototyping, Use Case, Activity, dan Sequence diperbarui serta dirender ulang agar konsisten dengan narasi dan implementasi. Alur terbaru menunjukkan React mengakses Supabase secara langsung untuk autentikasi dan pengelolaan data; Unity mengambil data melalui GET /api/unity/data; React hanya mengirim kode tujuan kepada Unity melalui SendMessage; dan React memvalidasi pesan OnNavigationCompleted terhadap tujuan aktif sebelum menampilkan notifikasi kedatangan. Diagram pengelolaan data juga tidak lagi mengklaim adanya trigger audit aktif yang belum dibuktikan.</w:t>
            </w:r>
          </w:p>
        </w:tc>
        <w:tc>
          <w:tcPr>
            <w:tcW w:type="dxa" w:w="2830"/>
            <w:vAlign w:val="center"/>
            <w:shd w:fill="EEF5FA" w:val="clear"/>
            <w:tcMar>
              <w:top w:w="100" w:type="dxa"/>
              <w:start w:w="120" w:type="dxa"/>
              <w:bottom w:w="100" w:type="dxa"/>
              <w:end w:w="120" w:type="dxa"/>
            </w:tcMar>
          </w:tcPr>
          <w:p>
            <w:pPr>
              <w:keepLines/>
              <w:spacing w:before="0" w:after="0" w:line="250" w:lineRule="auto"/>
              <w:jc w:val="left"/>
            </w:pPr>
            <w:r>
              <w:rPr>
                <w:rFonts w:ascii="Times New Roman" w:hAnsi="Times New Roman"/>
                <w:b w:val="0"/>
                <w:i w:val="0"/>
                <w:color w:val="1F1F1F"/>
                <w:sz w:val="20"/>
              </w:rPr>
              <w:t>BAB II Gambar 2.9 (hlm. 16), Gambar 2.10 (hlm. 23), dan Gambar 2.11-2.16 (hlm. 25-30)</w:t>
            </w:r>
          </w:p>
        </w:tc>
      </w:tr>
    </w:tbl>
    <w:sectPr w:rsidR="00FC693F" w:rsidRPr="0006063C" w:rsidSect="00034616">
      <w:headerReference w:type="default" r:id="rId9"/>
      <w:footerReference w:type="default" r:id="rId10"/>
      <w:pgSz w:w="16838" w:h="11906" w:orient="landscape"/>
      <w:pgMar w:top="1134"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b w:val="0"/>
        <w:i w:val="0"/>
        <w:color w:val="595959"/>
        <w:sz w:val="18"/>
      </w:rPr>
      <w:t xml:space="preserve">Halaman </w:t>
    </w:r>
    <w:r>
      <w:rPr>
        <w:rFonts w:ascii="Times New Roman" w:hAnsi="Times New Roman"/>
        <w:b w:val="0"/>
        <w:i w:val="0"/>
        <w:color w:val="59595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b/>
        <w:i w:val="0"/>
        <w:color w:val="595959"/>
        <w:sz w:val="17"/>
      </w:rPr>
      <w:t>TUGAS AKHIR | MUHAMMAD IMAN NUGRAHA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Times New Roman" w:hAnsi="Times New Roman"/>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Hasil Revisi Sidang Tugas Akhir</dc:title>
  <dc:subject>Hasil revisi sidang Muhammad Iman Nugraha</dc:subject>
  <dc:creator>Muhammad Iman Nugraha</dc:creator>
  <cp:keywords>revisi sidang, tugas akhir, Muhammad Iman Nugraha</cp:keywords>
  <dc:description>generated by python-docx</dc:description>
  <cp:lastModifiedBy/>
  <cp:revision>1</cp:revision>
  <dcterms:created xsi:type="dcterms:W3CDTF">2013-12-23T23:15:00Z</dcterms:created>
  <dcterms:modified xsi:type="dcterms:W3CDTF">2013-12-23T23:15:00Z</dcterms:modified>
  <cp:category/>
</cp:coreProperties>
</file>