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0A5F" w14:textId="77777777" w:rsidR="003579EE" w:rsidRDefault="00F07543">
      <w:pPr>
        <w:pStyle w:val="Heading1"/>
      </w:pPr>
      <w:bookmarkStart w:id="164" w:name="_Toc236158912"/>
      <w:r>
        <w:lastRenderedPageBreak/>
        <w:t>DAFTAR PUSTAKA</w:t>
      </w:r>
      <w:bookmarkEnd w:id="164"/>
    </w:p>
    <w:p w14:paraId="196698E2" w14:textId="77777777" w:rsidR="003579EE" w:rsidRDefault="00F07543">
      <w:pPr>
        <w:spacing w:after="120" w:line="240" w:lineRule="auto"/>
        <w:ind w:left="567" w:hanging="567"/>
        <w:jc w:val="left"/>
      </w:pPr>
      <w:r>
        <w:rPr>
          <w:color w:val="000000"/>
        </w:rPr>
        <w:t xml:space="preserve">Aliyah, A., Hartono, N., dan Muin, A. A. (2025). Penggunaan User Acceptance Testing (UAT) pada pengujian sistem informasi pengelolaan keuangan dan inventaris barang. </w:t>
      </w:r>
      <w:r>
        <w:rPr>
          <w:i/>
          <w:iCs/>
          <w:color w:val="000000"/>
        </w:rPr>
        <w:t>Switch: Jurnal Sains dan Teknologi Informasi</w:t>
      </w:r>
      <w:r>
        <w:rPr>
          <w:color w:val="000000"/>
        </w:rPr>
        <w:t>, 3(2), 42–58. https://doi.org/10.62951/switch.v3i1.330</w:t>
      </w:r>
    </w:p>
    <w:p w14:paraId="1003DCB0" w14:textId="77777777" w:rsidR="003579EE" w:rsidRPr="00AD2CA9" w:rsidRDefault="00F07543">
      <w:pPr>
        <w:spacing w:after="120" w:line="240" w:lineRule="auto"/>
        <w:ind w:left="567" w:hanging="567"/>
        <w:jc w:val="left"/>
        <w:rPr>
          <w:lang w:val="en-US"/>
        </w:rPr>
      </w:pPr>
      <w:r>
        <w:rPr>
          <w:color w:val="000000"/>
        </w:rPr>
        <w:t xml:space="preserve">Chandralekha, C. S., dan Raghunandana, M. (2023). </w:t>
      </w:r>
      <w:r w:rsidRPr="00AD2CA9">
        <w:rPr>
          <w:color w:val="000000"/>
          <w:lang w:val="en-US"/>
        </w:rPr>
        <w:t xml:space="preserve">Analysis of information architecture for university library websites: An Indian perspective. </w:t>
      </w:r>
      <w:r w:rsidRPr="00AD2CA9">
        <w:rPr>
          <w:i/>
          <w:iCs/>
          <w:color w:val="000000"/>
          <w:lang w:val="en-US"/>
        </w:rPr>
        <w:t>International Journal of Information Dissemination and Technology</w:t>
      </w:r>
      <w:r w:rsidRPr="00AD2CA9">
        <w:rPr>
          <w:color w:val="000000"/>
          <w:lang w:val="en-US"/>
        </w:rPr>
        <w:t>, 13(3), 111–115. https://doi.org/10.5958/2249-5576.2023.00021.3</w:t>
      </w:r>
    </w:p>
    <w:p w14:paraId="7F360375" w14:textId="77777777" w:rsidR="003579EE" w:rsidRPr="00AD2CA9" w:rsidRDefault="00F07543">
      <w:pPr>
        <w:spacing w:after="120" w:line="240" w:lineRule="auto"/>
        <w:ind w:left="567" w:hanging="567"/>
        <w:jc w:val="left"/>
        <w:rPr>
          <w:lang w:val="en-US"/>
        </w:rPr>
      </w:pPr>
      <w:r w:rsidRPr="00AD2CA9">
        <w:rPr>
          <w:color w:val="000000"/>
          <w:lang w:val="en-US"/>
        </w:rPr>
        <w:t xml:space="preserve">Dalimunthe, S., Hasri Putra, E., dan Fadhly Ridha, M. A. (2023). Restful API security using JSON Web Token (JWT) with HMAC-SHA512 algorithm in session management. </w:t>
      </w:r>
      <w:r w:rsidRPr="00AD2CA9">
        <w:rPr>
          <w:i/>
          <w:iCs/>
          <w:color w:val="000000"/>
          <w:lang w:val="en-US"/>
        </w:rPr>
        <w:t>IT Journal Research and Development</w:t>
      </w:r>
      <w:r w:rsidRPr="00AD2CA9">
        <w:rPr>
          <w:color w:val="000000"/>
          <w:lang w:val="en-US"/>
        </w:rPr>
        <w:t>, 8(1), 81–94. https://doi.org/10.25299/itjrd.2023.12029</w:t>
      </w:r>
    </w:p>
    <w:p w14:paraId="562F9032" w14:textId="77777777" w:rsidR="003579EE" w:rsidRPr="00AD2CA9" w:rsidRDefault="00F07543">
      <w:pPr>
        <w:spacing w:after="120" w:line="240" w:lineRule="auto"/>
        <w:ind w:left="567" w:hanging="567"/>
        <w:jc w:val="left"/>
        <w:rPr>
          <w:lang w:val="en-US"/>
        </w:rPr>
      </w:pPr>
      <w:r w:rsidRPr="00AD2CA9">
        <w:rPr>
          <w:color w:val="000000"/>
          <w:lang w:val="en-US"/>
        </w:rPr>
        <w:t xml:space="preserve">Jamaludin, J., dan Saepuloh, L. (2024). Tren riset twin digital smart campus. </w:t>
      </w:r>
      <w:r w:rsidRPr="00AD2CA9">
        <w:rPr>
          <w:i/>
          <w:iCs/>
          <w:color w:val="000000"/>
          <w:lang w:val="en-US"/>
        </w:rPr>
        <w:t>Sang Pencerah: Jurnal Ilmiah Universitas Muhammadiyah Buton</w:t>
      </w:r>
      <w:r w:rsidRPr="00AD2CA9">
        <w:rPr>
          <w:color w:val="000000"/>
          <w:lang w:val="en-US"/>
        </w:rPr>
        <w:t>, 10(2), 408–425. https://doi.org/10.35326/pencerah.v10i2.5317</w:t>
      </w:r>
    </w:p>
    <w:p w14:paraId="79BBAF31" w14:textId="77777777" w:rsidR="003579EE" w:rsidRPr="00AD2CA9" w:rsidRDefault="00F07543">
      <w:pPr>
        <w:spacing w:after="120" w:line="240" w:lineRule="auto"/>
        <w:ind w:left="567" w:hanging="567"/>
        <w:jc w:val="left"/>
        <w:rPr>
          <w:lang w:val="en-US"/>
        </w:rPr>
      </w:pPr>
      <w:r w:rsidRPr="00AD2CA9">
        <w:rPr>
          <w:color w:val="000000"/>
          <w:lang w:val="en-US"/>
        </w:rPr>
        <w:t xml:space="preserve">Li, Z., Guo, L., Cheng, J., Chen, Q., He, B., dan Guo, M. (2022). The serverless computing survey: A technical primer for design architecture. </w:t>
      </w:r>
      <w:r w:rsidRPr="00AD2CA9">
        <w:rPr>
          <w:i/>
          <w:iCs/>
          <w:color w:val="000000"/>
          <w:lang w:val="en-US"/>
        </w:rPr>
        <w:t>ACM Computing Surveys</w:t>
      </w:r>
      <w:r w:rsidRPr="00AD2CA9">
        <w:rPr>
          <w:color w:val="000000"/>
          <w:lang w:val="en-US"/>
        </w:rPr>
        <w:t>, 54(10s), Article 220, 1–34. https://doi.org/10.1145/3508360</w:t>
      </w:r>
    </w:p>
    <w:p w14:paraId="303CF39F" w14:textId="77777777" w:rsidR="003579EE" w:rsidRPr="00AD2CA9" w:rsidRDefault="00F07543">
      <w:pPr>
        <w:spacing w:after="120" w:line="240" w:lineRule="auto"/>
        <w:ind w:left="567" w:hanging="567"/>
        <w:jc w:val="left"/>
        <w:rPr>
          <w:lang w:val="en-US"/>
        </w:rPr>
      </w:pPr>
      <w:r w:rsidRPr="00AD2CA9">
        <w:rPr>
          <w:color w:val="000000"/>
          <w:lang w:val="en-US"/>
        </w:rPr>
        <w:t xml:space="preserve">Maulida, M., Zahro, F., Hakim, R., dan Akbar, M. S. (2025). Pengujian </w:t>
      </w:r>
      <w:r w:rsidRPr="00AD2CA9">
        <w:rPr>
          <w:i/>
          <w:iCs/>
          <w:color w:val="000000"/>
          <w:lang w:val="en-US"/>
        </w:rPr>
        <w:t>black box testing</w:t>
      </w:r>
      <w:r w:rsidRPr="00AD2CA9">
        <w:rPr>
          <w:color w:val="000000"/>
          <w:lang w:val="en-US"/>
        </w:rPr>
        <w:t xml:space="preserve"> pada sistem website pemesanan online Toko Ayam Krispy. </w:t>
      </w:r>
      <w:r w:rsidRPr="00AD2CA9">
        <w:rPr>
          <w:i/>
          <w:iCs/>
          <w:color w:val="000000"/>
          <w:lang w:val="en-US"/>
        </w:rPr>
        <w:t>Jurnal Media Akademik (JMA)</w:t>
      </w:r>
      <w:r w:rsidRPr="00AD2CA9">
        <w:rPr>
          <w:color w:val="000000"/>
          <w:lang w:val="en-US"/>
        </w:rPr>
        <w:t>, 3(5). https://doi.org/10.62281/v3i5.1908</w:t>
      </w:r>
    </w:p>
    <w:p w14:paraId="2D5AE850" w14:textId="77777777" w:rsidR="003579EE" w:rsidRPr="00AD2CA9" w:rsidRDefault="00F07543">
      <w:pPr>
        <w:spacing w:after="120" w:line="240" w:lineRule="auto"/>
        <w:ind w:left="567" w:hanging="567"/>
        <w:jc w:val="left"/>
        <w:rPr>
          <w:lang w:val="en-US"/>
        </w:rPr>
      </w:pPr>
      <w:r>
        <w:rPr>
          <w:color w:val="000000"/>
        </w:rPr>
        <w:t xml:space="preserve">McGill, T., Bamgboye, O., Liu, X., dan Kalutharage, C. S. (2023). </w:t>
      </w:r>
      <w:r w:rsidRPr="00AD2CA9">
        <w:rPr>
          <w:color w:val="000000"/>
          <w:lang w:val="en-US"/>
        </w:rPr>
        <w:t xml:space="preserve">Towards improving accessibility of web auditing with Google Lighthouse. In </w:t>
      </w:r>
      <w:r w:rsidRPr="00AD2CA9">
        <w:rPr>
          <w:i/>
          <w:iCs/>
          <w:color w:val="000000"/>
          <w:lang w:val="en-US"/>
        </w:rPr>
        <w:t>2023 IEEE 47th Annual Computers, Software, and Applications Conference (COMPSAC)</w:t>
      </w:r>
      <w:r w:rsidRPr="00AD2CA9">
        <w:rPr>
          <w:color w:val="000000"/>
          <w:lang w:val="en-US"/>
        </w:rPr>
        <w:t xml:space="preserve"> (pp. 1594–1599). IEEE Computer Society. https://doi.org/10.1109/COMPSAC57700.2023.00246</w:t>
      </w:r>
    </w:p>
    <w:p w14:paraId="138F1ED4" w14:textId="77777777" w:rsidR="003579EE" w:rsidRPr="00AD2CA9" w:rsidRDefault="00F07543">
      <w:pPr>
        <w:spacing w:after="120" w:line="240" w:lineRule="auto"/>
        <w:ind w:left="567" w:hanging="567"/>
        <w:jc w:val="left"/>
        <w:rPr>
          <w:lang w:val="en-US"/>
        </w:rPr>
      </w:pPr>
      <w:r w:rsidRPr="00AD2CA9">
        <w:rPr>
          <w:color w:val="000000"/>
          <w:lang w:val="en-US"/>
        </w:rPr>
        <w:t xml:space="preserve">Muharam, Y., Anggara, M. B., dan Hanafi, T. J. (2023). Implementasi peta 3 dimensi menggunakan metode IMSDD (Interactive Multimedia System Design and Development) dan WebGL API berbasis web (Studi kasus di SMP Karya Pembangunan 2 Majalaya). </w:t>
      </w:r>
      <w:r w:rsidRPr="00AD2CA9">
        <w:rPr>
          <w:i/>
          <w:iCs/>
          <w:color w:val="000000"/>
          <w:lang w:val="en-US"/>
        </w:rPr>
        <w:t>Jurnal Informatika-COMPUTING</w:t>
      </w:r>
      <w:r w:rsidRPr="00AD2CA9">
        <w:rPr>
          <w:color w:val="000000"/>
          <w:lang w:val="en-US"/>
        </w:rPr>
        <w:t>, 10, 20–30. https://doi.org/10.55222/computing.v10i01.1155</w:t>
      </w:r>
    </w:p>
    <w:p w14:paraId="749E75B7" w14:textId="77777777" w:rsidR="003579EE" w:rsidRDefault="00F07543">
      <w:pPr>
        <w:spacing w:after="120" w:line="240" w:lineRule="auto"/>
        <w:ind w:left="567" w:hanging="567"/>
        <w:jc w:val="left"/>
      </w:pPr>
      <w:r w:rsidRPr="00AD2CA9">
        <w:rPr>
          <w:color w:val="000000"/>
          <w:lang w:val="en-US"/>
        </w:rPr>
        <w:t xml:space="preserve">Putra, I. G. W. W., Dharma, E. M., dan Permana, P. T. H. (2026). Implementasi relational database dengan Row-Level Security (RLS) pada sistem inventory menggunakan Supabase dan React Native Expo (Studi kasus Bengkel Sari Merta). </w:t>
      </w:r>
      <w:r>
        <w:rPr>
          <w:i/>
          <w:iCs/>
          <w:color w:val="000000"/>
        </w:rPr>
        <w:t>JATI (Jurnal Mahasiswa Teknik Informatika)</w:t>
      </w:r>
      <w:r>
        <w:rPr>
          <w:color w:val="000000"/>
        </w:rPr>
        <w:t>, 10(2), 2443–2448. https://doi.org/10.36040/jati.v10i2.17551</w:t>
      </w:r>
    </w:p>
    <w:p w14:paraId="7E16F15A" w14:textId="77777777" w:rsidR="003579EE" w:rsidRDefault="00F07543">
      <w:pPr>
        <w:spacing w:after="120" w:line="240" w:lineRule="auto"/>
        <w:ind w:left="567" w:hanging="567"/>
        <w:jc w:val="left"/>
      </w:pPr>
      <w:r>
        <w:rPr>
          <w:color w:val="000000"/>
        </w:rPr>
        <w:t xml:space="preserve">Syarif, S., dan Risdiansyah, D. (2024). Pemanfaatan metode prototype dalam perancangan sistem informasi penjualan berbasis website. </w:t>
      </w:r>
      <w:r>
        <w:rPr>
          <w:i/>
          <w:iCs/>
          <w:color w:val="000000"/>
        </w:rPr>
        <w:t>Jurnal Ekonomi Manajemen dan Bisnis (JEMB)</w:t>
      </w:r>
      <w:r>
        <w:rPr>
          <w:color w:val="000000"/>
        </w:rPr>
        <w:t>, 2(1), 12–25. https://doi.org/10.54895/jemb.v2i1.2312</w:t>
      </w:r>
    </w:p>
    <w:p w14:paraId="5135FDE9" w14:textId="77777777" w:rsidR="003579EE" w:rsidRPr="00AD2CA9" w:rsidRDefault="00F07543">
      <w:pPr>
        <w:spacing w:after="120" w:line="240" w:lineRule="auto"/>
        <w:ind w:left="567" w:hanging="567"/>
        <w:jc w:val="left"/>
        <w:rPr>
          <w:lang w:val="en-US"/>
        </w:rPr>
      </w:pPr>
      <w:r w:rsidRPr="00AD2CA9">
        <w:rPr>
          <w:color w:val="000000"/>
          <w:lang w:val="en-US"/>
        </w:rPr>
        <w:lastRenderedPageBreak/>
        <w:t xml:space="preserve">Taurusta, C., Asiddiq, A. M., Suprianto, S., dan Setiawan, H. (2024). Visualisasi gedung kampus 1 Universitas Muhammadiyah Sidoarjo menggunakan augmented reality sebagai media informasi. </w:t>
      </w:r>
      <w:r w:rsidRPr="00AD2CA9">
        <w:rPr>
          <w:i/>
          <w:iCs/>
          <w:color w:val="000000"/>
          <w:lang w:val="en-US"/>
        </w:rPr>
        <w:t>Journal of Technology and System Information</w:t>
      </w:r>
      <w:r w:rsidRPr="00AD2CA9">
        <w:rPr>
          <w:color w:val="000000"/>
          <w:lang w:val="en-US"/>
        </w:rPr>
        <w:t>, 1(1), 55–70. https://doi.org/10.47134/jtsi.v1i1.2146</w:t>
      </w:r>
    </w:p>
    <w:p w14:paraId="1F5AA2FF" w14:textId="77777777" w:rsidR="003579EE" w:rsidRDefault="00F07543">
      <w:pPr>
        <w:spacing w:after="120" w:line="240" w:lineRule="auto"/>
        <w:ind w:left="567" w:hanging="567"/>
        <w:jc w:val="left"/>
      </w:pPr>
      <w:r>
        <w:rPr>
          <w:color w:val="000000"/>
        </w:rPr>
        <w:t>UPNVJ. (2022). Lokasi kampus. https://www.upnvj.ac.id/id/tentang-upn/lokasi-kampus.html</w:t>
      </w:r>
    </w:p>
    <w:p w14:paraId="732BD1D2" w14:textId="77777777" w:rsidR="003579EE" w:rsidRDefault="00F07543">
      <w:pPr>
        <w:spacing w:after="120" w:line="240" w:lineRule="auto"/>
        <w:ind w:left="567" w:hanging="567"/>
        <w:jc w:val="left"/>
      </w:pPr>
      <w:r>
        <w:rPr>
          <w:color w:val="000000"/>
        </w:rPr>
        <w:t>UPNVJ. (2025a). Kantin. https://www.upnvj.ac.id/id/fasilitas-layanan/kantin.html</w:t>
      </w:r>
    </w:p>
    <w:p w14:paraId="731D668A" w14:textId="77777777" w:rsidR="003579EE" w:rsidRDefault="00F07543">
      <w:pPr>
        <w:spacing w:after="120" w:line="240" w:lineRule="auto"/>
        <w:ind w:left="567" w:hanging="567"/>
        <w:jc w:val="left"/>
      </w:pPr>
      <w:r>
        <w:rPr>
          <w:color w:val="000000"/>
        </w:rPr>
        <w:t>UPNVJ. (2025b). Sejarah. https://www.upnvj.ac.id/id/tentang-upn/sejarah.html</w:t>
      </w:r>
    </w:p>
    <w:p w14:paraId="49F3A2B6" w14:textId="77777777" w:rsidR="003579EE" w:rsidRDefault="00F07543">
      <w:pPr>
        <w:spacing w:after="120" w:line="240" w:lineRule="auto"/>
        <w:ind w:left="567" w:hanging="567"/>
        <w:jc w:val="left"/>
      </w:pPr>
      <w:r>
        <w:rPr>
          <w:color w:val="000000"/>
        </w:rPr>
        <w:t>UPNVJ. (2026). Rapat koordinasi Humas UPNVJ 2026: Fokus strategi komunikasi digital dan media sosial perguruan tinggi. https://www.upnvj.ac.id/id/berita/2026/02/rapat-koordinasi-humas-upnvj-2026-fokus-strategi-komunikasi-digital-dan-media-sosial-perguruan-tinggi.html</w:t>
      </w:r>
    </w:p>
    <w:p w14:paraId="22B5ED38" w14:textId="77777777" w:rsidR="003579EE" w:rsidRPr="00AD2CA9" w:rsidRDefault="00F07543">
      <w:pPr>
        <w:spacing w:after="120" w:line="240" w:lineRule="auto"/>
        <w:ind w:left="567" w:hanging="567"/>
        <w:jc w:val="left"/>
        <w:rPr>
          <w:lang w:val="en-US"/>
        </w:rPr>
      </w:pPr>
      <w:r w:rsidRPr="00AD2CA9">
        <w:rPr>
          <w:color w:val="000000"/>
          <w:lang w:val="en-US"/>
        </w:rPr>
        <w:t>W3C. (2024). Web Content Accessibility Guidelines (WCAG) 2.2. https://www.w3.org/TR/WCAG22/</w:t>
      </w:r>
    </w:p>
    <w:p w14:paraId="385A53A9" w14:textId="77777777" w:rsidR="003579EE" w:rsidRPr="00AD2CA9" w:rsidRDefault="00F07543">
      <w:pPr>
        <w:spacing w:after="120" w:line="240" w:lineRule="auto"/>
        <w:ind w:left="567" w:hanging="567"/>
        <w:jc w:val="left"/>
        <w:rPr>
          <w:lang w:val="en-US"/>
        </w:rPr>
      </w:pPr>
      <w:r w:rsidRPr="00AD2CA9">
        <w:rPr>
          <w:color w:val="000000"/>
          <w:lang w:val="en-US"/>
        </w:rPr>
        <w:t xml:space="preserve">Wang, H., Lou, S., Jing, J., Wang, Y., Liu, W., dan Liu, T. (2022). The EBS-A* algorithm: An improved A* algorithm for path planning. </w:t>
      </w:r>
      <w:r w:rsidRPr="00AD2CA9">
        <w:rPr>
          <w:i/>
          <w:iCs/>
          <w:color w:val="000000"/>
          <w:lang w:val="en-US"/>
        </w:rPr>
        <w:t>PLOS ONE</w:t>
      </w:r>
      <w:r w:rsidRPr="00AD2CA9">
        <w:rPr>
          <w:color w:val="000000"/>
          <w:lang w:val="en-US"/>
        </w:rPr>
        <w:t>, 17(2), e0263841. https://doi.org/10.1371/journal.pone.0263841</w:t>
      </w:r>
    </w:p>
    <w:p w14:paraId="7C485DD2" w14:textId="77777777" w:rsidR="003579EE" w:rsidRPr="00AD2CA9" w:rsidRDefault="00F07543">
      <w:pPr>
        <w:spacing w:after="120" w:line="240" w:lineRule="auto"/>
        <w:ind w:left="567" w:hanging="567"/>
        <w:jc w:val="left"/>
        <w:rPr>
          <w:lang w:val="en-US"/>
        </w:rPr>
      </w:pPr>
      <w:r w:rsidRPr="00AD2CA9">
        <w:rPr>
          <w:color w:val="000000"/>
          <w:lang w:val="en-US"/>
        </w:rPr>
        <w:t xml:space="preserve">Wayahdi, M. R., dan Ruziq, F. (2023). Pemodelan sistem penerimaan anggota baru dengan Unified Modeling Language (UML) (Studi kasus: Programmer Association of Battuta). </w:t>
      </w:r>
      <w:r w:rsidRPr="00AD2CA9">
        <w:rPr>
          <w:i/>
          <w:iCs/>
          <w:color w:val="000000"/>
          <w:lang w:val="en-US"/>
        </w:rPr>
        <w:t>Jurnal Minfo Polgan</w:t>
      </w:r>
      <w:r w:rsidRPr="00AD2CA9">
        <w:rPr>
          <w:color w:val="000000"/>
          <w:lang w:val="en-US"/>
        </w:rPr>
        <w:t>, 12(1), 1514–1521. https://doi.org/10.33395/jmp.v12i1.12870</w:t>
      </w:r>
    </w:p>
    <w:sectPr w:rsidR="003579EE" w:rsidRPr="00AD2CA9" w:rsidSect="001A5D05">
      <w:headerReference w:type="default" r:id="rId74"/>
      <w:footerReference w:type="default" r:id="rId75"/>
      <w:headerReference w:type="first" r:id="rId76"/>
      <w:footerReference w:type="first" r:id="rId77"/>
      <w:pgSz w:w="11906" w:h="16838"/>
      <w:pgMar w:top="1701" w:right="1701" w:bottom="1701" w:left="2268" w:header="720" w:footer="720" w:gutter="0"/>
      <w:pgNumType w:start="76" w:fmt="decimal"/>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20" Type="http://schemas.openxmlformats.org/officeDocument/2006/relationships/header" Target="header6.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